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F55FC7" w14:textId="5236E508" w:rsidR="00D46F50" w:rsidRDefault="00D46F50" w:rsidP="004D553F">
      <w:pPr>
        <w:pStyle w:val="Title"/>
      </w:pPr>
    </w:p>
    <w:p w14:paraId="6A745DB1" w14:textId="77777777" w:rsidR="008B0223" w:rsidRDefault="008B0223" w:rsidP="004D553F">
      <w:pPr>
        <w:pStyle w:val="Title"/>
      </w:pPr>
    </w:p>
    <w:p w14:paraId="52632F11" w14:textId="77777777" w:rsidR="008B0223" w:rsidRDefault="008B0223" w:rsidP="004D553F">
      <w:pPr>
        <w:pStyle w:val="Title"/>
        <w:rPr>
          <w:b/>
          <w:sz w:val="96"/>
        </w:rPr>
      </w:pPr>
    </w:p>
    <w:p w14:paraId="017F2596" w14:textId="46B2BF56" w:rsidR="00105D77" w:rsidRPr="008B0223" w:rsidRDefault="004D553F" w:rsidP="004D553F">
      <w:pPr>
        <w:pStyle w:val="Title"/>
        <w:rPr>
          <w:b/>
          <w:sz w:val="96"/>
        </w:rPr>
      </w:pPr>
      <w:r w:rsidRPr="008B0223">
        <w:rPr>
          <w:b/>
          <w:sz w:val="96"/>
        </w:rPr>
        <w:t xml:space="preserve">COVID-19 and </w:t>
      </w:r>
      <w:r w:rsidR="002A3BC8" w:rsidRPr="008B0223">
        <w:rPr>
          <w:b/>
          <w:sz w:val="96"/>
        </w:rPr>
        <w:t>c</w:t>
      </w:r>
      <w:r w:rsidRPr="008B0223">
        <w:rPr>
          <w:b/>
          <w:sz w:val="96"/>
        </w:rPr>
        <w:t>ancer</w:t>
      </w:r>
      <w:r w:rsidR="004A210E" w:rsidRPr="008B0223">
        <w:rPr>
          <w:b/>
          <w:sz w:val="96"/>
        </w:rPr>
        <w:t xml:space="preserve"> </w:t>
      </w:r>
      <w:r w:rsidR="008B0223" w:rsidRPr="008B0223">
        <w:rPr>
          <w:b/>
          <w:sz w:val="96"/>
        </w:rPr>
        <w:t>service</w:t>
      </w:r>
      <w:r w:rsidR="008B0223">
        <w:rPr>
          <w:b/>
          <w:sz w:val="96"/>
        </w:rPr>
        <w:t>s</w:t>
      </w:r>
    </w:p>
    <w:p w14:paraId="3A84128E" w14:textId="27C12F8B" w:rsidR="008B0223" w:rsidRDefault="008B0223" w:rsidP="002A3BC8">
      <w:pPr>
        <w:rPr>
          <w:sz w:val="28"/>
        </w:rPr>
      </w:pPr>
      <w:r>
        <w:rPr>
          <w:sz w:val="28"/>
        </w:rPr>
        <w:t>A Cancer Control Agency working report on the impact of COVID-19 and the lockdown on cancer services in New Zealand</w:t>
      </w:r>
    </w:p>
    <w:p w14:paraId="32349D57" w14:textId="2784D8F7" w:rsidR="008B0223" w:rsidRDefault="008B0223" w:rsidP="002A3BC8">
      <w:pPr>
        <w:rPr>
          <w:sz w:val="28"/>
        </w:rPr>
      </w:pPr>
    </w:p>
    <w:p w14:paraId="2E8444B6" w14:textId="226E4240" w:rsidR="008B0223" w:rsidRDefault="008B0223" w:rsidP="002A3BC8">
      <w:pPr>
        <w:rPr>
          <w:b/>
          <w:sz w:val="28"/>
        </w:rPr>
      </w:pPr>
      <w:r>
        <w:rPr>
          <w:b/>
          <w:sz w:val="28"/>
        </w:rPr>
        <w:t>May 2020</w:t>
      </w:r>
    </w:p>
    <w:p w14:paraId="7AF04865" w14:textId="77777777" w:rsidR="008B0223" w:rsidRDefault="008B0223">
      <w:pPr>
        <w:rPr>
          <w:b/>
          <w:sz w:val="28"/>
        </w:rPr>
      </w:pPr>
      <w:r>
        <w:rPr>
          <w:b/>
          <w:sz w:val="28"/>
        </w:rPr>
        <w:br w:type="page"/>
      </w:r>
    </w:p>
    <w:p w14:paraId="56A56706" w14:textId="77777777" w:rsidR="008B0223" w:rsidRPr="008B0223" w:rsidRDefault="008B0223" w:rsidP="002A3BC8">
      <w:pPr>
        <w:rPr>
          <w:b/>
          <w:sz w:val="28"/>
        </w:rPr>
      </w:pPr>
    </w:p>
    <w:p w14:paraId="607D4366" w14:textId="69C6CDB0" w:rsidR="008B0223" w:rsidRDefault="008B0223" w:rsidP="008B0223">
      <w:pPr>
        <w:rPr>
          <w:b/>
          <w:sz w:val="36"/>
          <w:szCs w:val="36"/>
        </w:rPr>
      </w:pPr>
      <w:r w:rsidRPr="008B0223">
        <w:rPr>
          <w:b/>
          <w:sz w:val="36"/>
          <w:szCs w:val="36"/>
        </w:rPr>
        <w:t>Acknowledgements</w:t>
      </w:r>
    </w:p>
    <w:p w14:paraId="0ACDD8FE" w14:textId="199D3835" w:rsidR="008B0223" w:rsidRDefault="009D0E39" w:rsidP="000A2412">
      <w:pPr>
        <w:rPr>
          <w:sz w:val="24"/>
        </w:rPr>
      </w:pPr>
      <w:r>
        <w:rPr>
          <w:sz w:val="24"/>
        </w:rPr>
        <w:t xml:space="preserve">With thanks </w:t>
      </w:r>
      <w:r w:rsidR="000A2412" w:rsidRPr="000A2412">
        <w:rPr>
          <w:sz w:val="24"/>
        </w:rPr>
        <w:t xml:space="preserve">to colleagues </w:t>
      </w:r>
      <w:r>
        <w:rPr>
          <w:sz w:val="24"/>
        </w:rPr>
        <w:t>in</w:t>
      </w:r>
      <w:r w:rsidR="000A2412" w:rsidRPr="000A2412">
        <w:rPr>
          <w:sz w:val="24"/>
        </w:rPr>
        <w:t xml:space="preserve"> the Ministry of Health, University of Otago, Health Quality and Safety Commission</w:t>
      </w:r>
      <w:r w:rsidR="00152004">
        <w:rPr>
          <w:sz w:val="24"/>
        </w:rPr>
        <w:t xml:space="preserve">, </w:t>
      </w:r>
      <w:r w:rsidR="000A2412" w:rsidRPr="000A2412">
        <w:rPr>
          <w:sz w:val="24"/>
        </w:rPr>
        <w:t>Hei Āhuru Mōwai</w:t>
      </w:r>
      <w:r w:rsidR="00864F22">
        <w:rPr>
          <w:sz w:val="24"/>
        </w:rPr>
        <w:t>, DHB</w:t>
      </w:r>
      <w:r>
        <w:rPr>
          <w:sz w:val="24"/>
        </w:rPr>
        <w:t>s</w:t>
      </w:r>
      <w:r w:rsidR="000A2412" w:rsidRPr="000A2412">
        <w:rPr>
          <w:sz w:val="24"/>
        </w:rPr>
        <w:t xml:space="preserve"> </w:t>
      </w:r>
      <w:r w:rsidR="00152004">
        <w:rPr>
          <w:sz w:val="24"/>
        </w:rPr>
        <w:t xml:space="preserve">and clinicians </w:t>
      </w:r>
      <w:r w:rsidR="000A2412" w:rsidRPr="000A2412">
        <w:rPr>
          <w:sz w:val="24"/>
        </w:rPr>
        <w:t>for the</w:t>
      </w:r>
      <w:r w:rsidR="00152004">
        <w:rPr>
          <w:sz w:val="24"/>
        </w:rPr>
        <w:t>ir</w:t>
      </w:r>
      <w:r w:rsidR="000A2412" w:rsidRPr="000A2412">
        <w:rPr>
          <w:sz w:val="24"/>
        </w:rPr>
        <w:t xml:space="preserve"> input into this report</w:t>
      </w:r>
      <w:r w:rsidR="00864F22">
        <w:rPr>
          <w:sz w:val="24"/>
        </w:rPr>
        <w:t>.</w:t>
      </w:r>
      <w:r>
        <w:rPr>
          <w:sz w:val="24"/>
        </w:rPr>
        <w:t xml:space="preserve"> In particular</w:t>
      </w:r>
      <w:r w:rsidR="00B407D1">
        <w:rPr>
          <w:sz w:val="24"/>
        </w:rPr>
        <w:t>,</w:t>
      </w:r>
      <w:r>
        <w:rPr>
          <w:sz w:val="24"/>
        </w:rPr>
        <w:t xml:space="preserve"> the members of the COVID-19 Data Response Advisory Group and the Cancer Agency COVID Agile Response Team. </w:t>
      </w:r>
    </w:p>
    <w:p w14:paraId="03728A1C" w14:textId="56384AA7" w:rsidR="00864F22" w:rsidRDefault="00864F22" w:rsidP="000A2412">
      <w:pPr>
        <w:rPr>
          <w:sz w:val="24"/>
        </w:rPr>
      </w:pPr>
      <w:r>
        <w:rPr>
          <w:sz w:val="24"/>
        </w:rPr>
        <w:t xml:space="preserve">Members of the Data Response Advisory Group: </w:t>
      </w:r>
      <w:r w:rsidRPr="00864F22">
        <w:rPr>
          <w:sz w:val="24"/>
        </w:rPr>
        <w:t xml:space="preserve">Alexander Dunn, Angela </w:t>
      </w:r>
      <w:proofErr w:type="spellStart"/>
      <w:r w:rsidRPr="00864F22">
        <w:rPr>
          <w:sz w:val="24"/>
        </w:rPr>
        <w:t>Pidd</w:t>
      </w:r>
      <w:proofErr w:type="spellEnd"/>
      <w:r w:rsidRPr="00864F22">
        <w:rPr>
          <w:sz w:val="24"/>
        </w:rPr>
        <w:t>,</w:t>
      </w:r>
      <w:r>
        <w:rPr>
          <w:sz w:val="24"/>
        </w:rPr>
        <w:t xml:space="preserve"> Bridget Robson,</w:t>
      </w:r>
      <w:r w:rsidRPr="00864F22">
        <w:rPr>
          <w:sz w:val="24"/>
        </w:rPr>
        <w:t xml:space="preserve"> Christine Fowle</w:t>
      </w:r>
      <w:r>
        <w:rPr>
          <w:sz w:val="24"/>
        </w:rPr>
        <w:t>r</w:t>
      </w:r>
      <w:r w:rsidRPr="00864F22">
        <w:rPr>
          <w:sz w:val="24"/>
        </w:rPr>
        <w:t>, Christopher</w:t>
      </w:r>
      <w:r>
        <w:rPr>
          <w:sz w:val="24"/>
        </w:rPr>
        <w:t xml:space="preserve"> </w:t>
      </w:r>
      <w:r w:rsidRPr="00864F22">
        <w:rPr>
          <w:sz w:val="24"/>
        </w:rPr>
        <w:t xml:space="preserve">Jackson, </w:t>
      </w:r>
      <w:r>
        <w:rPr>
          <w:sz w:val="24"/>
        </w:rPr>
        <w:t xml:space="preserve">Diana </w:t>
      </w:r>
      <w:proofErr w:type="spellStart"/>
      <w:r>
        <w:rPr>
          <w:sz w:val="24"/>
        </w:rPr>
        <w:t>Sarfati</w:t>
      </w:r>
      <w:proofErr w:type="spellEnd"/>
      <w:r>
        <w:rPr>
          <w:sz w:val="24"/>
        </w:rPr>
        <w:t xml:space="preserve">, </w:t>
      </w:r>
      <w:r w:rsidRPr="00864F22">
        <w:rPr>
          <w:sz w:val="24"/>
        </w:rPr>
        <w:t>Elinor Millar, Heidi</w:t>
      </w:r>
      <w:r>
        <w:rPr>
          <w:sz w:val="24"/>
        </w:rPr>
        <w:t xml:space="preserve"> Watson, James Stanley, J</w:t>
      </w:r>
      <w:r w:rsidRPr="00864F22">
        <w:rPr>
          <w:sz w:val="24"/>
        </w:rPr>
        <w:t>ason</w:t>
      </w:r>
      <w:r>
        <w:rPr>
          <w:sz w:val="24"/>
        </w:rPr>
        <w:t xml:space="preserve"> G</w:t>
      </w:r>
      <w:r w:rsidRPr="00864F22">
        <w:rPr>
          <w:sz w:val="24"/>
        </w:rPr>
        <w:t xml:space="preserve">urney, John </w:t>
      </w:r>
      <w:proofErr w:type="spellStart"/>
      <w:r w:rsidRPr="00864F22">
        <w:rPr>
          <w:sz w:val="24"/>
        </w:rPr>
        <w:t>Manderson</w:t>
      </w:r>
      <w:proofErr w:type="spellEnd"/>
      <w:r w:rsidRPr="00864F22">
        <w:rPr>
          <w:sz w:val="24"/>
        </w:rPr>
        <w:t xml:space="preserve">, Michelle Mako, </w:t>
      </w:r>
      <w:r w:rsidR="00D97D1A">
        <w:rPr>
          <w:sz w:val="24"/>
        </w:rPr>
        <w:t xml:space="preserve">Nikolai </w:t>
      </w:r>
      <w:proofErr w:type="spellStart"/>
      <w:r w:rsidR="00D97D1A">
        <w:rPr>
          <w:sz w:val="24"/>
        </w:rPr>
        <w:t>Minko</w:t>
      </w:r>
      <w:proofErr w:type="spellEnd"/>
      <w:r w:rsidR="00D97D1A">
        <w:rPr>
          <w:sz w:val="24"/>
        </w:rPr>
        <w:t xml:space="preserve">, </w:t>
      </w:r>
      <w:r w:rsidRPr="00864F22">
        <w:rPr>
          <w:sz w:val="24"/>
        </w:rPr>
        <w:t>Nina</w:t>
      </w:r>
      <w:r>
        <w:rPr>
          <w:sz w:val="24"/>
        </w:rPr>
        <w:t xml:space="preserve"> </w:t>
      </w:r>
      <w:r w:rsidRPr="00864F22">
        <w:rPr>
          <w:sz w:val="24"/>
        </w:rPr>
        <w:t>Scott, Richard</w:t>
      </w:r>
      <w:r>
        <w:rPr>
          <w:sz w:val="24"/>
        </w:rPr>
        <w:t xml:space="preserve"> </w:t>
      </w:r>
      <w:r w:rsidRPr="00864F22">
        <w:rPr>
          <w:sz w:val="24"/>
        </w:rPr>
        <w:t>Hamblin, Ruth Pirie, Scott</w:t>
      </w:r>
      <w:r>
        <w:rPr>
          <w:sz w:val="24"/>
        </w:rPr>
        <w:t xml:space="preserve"> </w:t>
      </w:r>
      <w:r w:rsidR="00D97D1A">
        <w:rPr>
          <w:sz w:val="24"/>
        </w:rPr>
        <w:t>MacFarlane</w:t>
      </w:r>
      <w:r>
        <w:rPr>
          <w:sz w:val="24"/>
        </w:rPr>
        <w:t>, Shaun Costello</w:t>
      </w:r>
    </w:p>
    <w:p w14:paraId="00AE0263" w14:textId="33C34F60" w:rsidR="00BB2F4A" w:rsidRDefault="00864F22" w:rsidP="008B0223">
      <w:bookmarkStart w:id="0" w:name="_GoBack"/>
      <w:bookmarkEnd w:id="0"/>
      <w:r>
        <w:rPr>
          <w:sz w:val="24"/>
        </w:rPr>
        <w:t>Members of the Cancer Agency COVID Agile Response Team (CACART):</w:t>
      </w:r>
      <w:r w:rsidR="00BB2F4A">
        <w:rPr>
          <w:sz w:val="24"/>
        </w:rPr>
        <w:t xml:space="preserve"> C</w:t>
      </w:r>
      <w:r w:rsidR="00BB2F4A" w:rsidRPr="00BB2F4A">
        <w:rPr>
          <w:sz w:val="24"/>
        </w:rPr>
        <w:t>hristopher</w:t>
      </w:r>
      <w:r w:rsidR="00BB2F4A">
        <w:rPr>
          <w:sz w:val="24"/>
        </w:rPr>
        <w:t xml:space="preserve"> </w:t>
      </w:r>
      <w:r w:rsidR="00BB2F4A" w:rsidRPr="00BB2F4A">
        <w:rPr>
          <w:sz w:val="24"/>
        </w:rPr>
        <w:t>Jackson, Claire</w:t>
      </w:r>
      <w:r w:rsidR="00BB2F4A">
        <w:rPr>
          <w:sz w:val="24"/>
        </w:rPr>
        <w:t xml:space="preserve"> </w:t>
      </w:r>
      <w:r w:rsidR="00BB2F4A" w:rsidRPr="00BB2F4A">
        <w:rPr>
          <w:sz w:val="24"/>
        </w:rPr>
        <w:t xml:space="preserve">Hardie, </w:t>
      </w:r>
      <w:r w:rsidR="00BB2F4A">
        <w:rPr>
          <w:sz w:val="24"/>
        </w:rPr>
        <w:t xml:space="preserve">Diana </w:t>
      </w:r>
      <w:proofErr w:type="spellStart"/>
      <w:r w:rsidR="00BB2F4A">
        <w:rPr>
          <w:sz w:val="24"/>
        </w:rPr>
        <w:t>Sarfati</w:t>
      </w:r>
      <w:proofErr w:type="spellEnd"/>
      <w:r w:rsidR="00BB2F4A">
        <w:rPr>
          <w:sz w:val="24"/>
        </w:rPr>
        <w:t xml:space="preserve">, </w:t>
      </w:r>
      <w:r w:rsidR="00BB2F4A" w:rsidRPr="00BB2F4A">
        <w:rPr>
          <w:sz w:val="24"/>
        </w:rPr>
        <w:t>Elinor Millar, Mary-Ann</w:t>
      </w:r>
      <w:r w:rsidR="00BB2F4A">
        <w:rPr>
          <w:sz w:val="24"/>
        </w:rPr>
        <w:t xml:space="preserve"> </w:t>
      </w:r>
      <w:r w:rsidR="00BB2F4A" w:rsidRPr="00BB2F4A">
        <w:rPr>
          <w:sz w:val="24"/>
        </w:rPr>
        <w:t>Hamilton, Michelle Mako, M</w:t>
      </w:r>
      <w:r w:rsidR="00BB2F4A">
        <w:rPr>
          <w:sz w:val="24"/>
        </w:rPr>
        <w:t xml:space="preserve">ark </w:t>
      </w:r>
      <w:r w:rsidR="00BB2F4A" w:rsidRPr="00BB2F4A">
        <w:rPr>
          <w:sz w:val="24"/>
        </w:rPr>
        <w:t xml:space="preserve">Winstanley, </w:t>
      </w:r>
      <w:r w:rsidR="00BB2F4A">
        <w:rPr>
          <w:sz w:val="24"/>
        </w:rPr>
        <w:t>M</w:t>
      </w:r>
      <w:r w:rsidR="00BB2F4A" w:rsidRPr="00BB2F4A">
        <w:rPr>
          <w:sz w:val="24"/>
        </w:rPr>
        <w:t>yra</w:t>
      </w:r>
      <w:r w:rsidR="00BB2F4A">
        <w:rPr>
          <w:sz w:val="24"/>
        </w:rPr>
        <w:t xml:space="preserve"> R</w:t>
      </w:r>
      <w:r w:rsidR="00BB2F4A" w:rsidRPr="00BB2F4A">
        <w:rPr>
          <w:sz w:val="24"/>
        </w:rPr>
        <w:t>uka,</w:t>
      </w:r>
      <w:r w:rsidR="00BB2F4A">
        <w:rPr>
          <w:sz w:val="24"/>
        </w:rPr>
        <w:t xml:space="preserve"> Richard </w:t>
      </w:r>
      <w:r w:rsidR="00BB2F4A" w:rsidRPr="00BB2F4A">
        <w:rPr>
          <w:sz w:val="24"/>
        </w:rPr>
        <w:t>Doocey, Richard</w:t>
      </w:r>
      <w:r w:rsidR="00BB2F4A">
        <w:rPr>
          <w:sz w:val="24"/>
        </w:rPr>
        <w:t xml:space="preserve"> </w:t>
      </w:r>
      <w:r w:rsidR="00BB2F4A" w:rsidRPr="00BB2F4A">
        <w:rPr>
          <w:sz w:val="24"/>
        </w:rPr>
        <w:t>North, Robert</w:t>
      </w:r>
      <w:r w:rsidR="00BB2F4A">
        <w:rPr>
          <w:sz w:val="24"/>
        </w:rPr>
        <w:t xml:space="preserve"> </w:t>
      </w:r>
      <w:r w:rsidR="00BB2F4A" w:rsidRPr="00BB2F4A">
        <w:rPr>
          <w:sz w:val="24"/>
        </w:rPr>
        <w:t xml:space="preserve">Weinkove, Suzanne </w:t>
      </w:r>
      <w:proofErr w:type="spellStart"/>
      <w:r w:rsidR="00BB2F4A" w:rsidRPr="00BB2F4A">
        <w:rPr>
          <w:sz w:val="24"/>
        </w:rPr>
        <w:t>Beuker</w:t>
      </w:r>
      <w:proofErr w:type="spellEnd"/>
      <w:r w:rsidR="00BB2F4A">
        <w:rPr>
          <w:sz w:val="24"/>
        </w:rPr>
        <w:t xml:space="preserve">, </w:t>
      </w:r>
      <w:r w:rsidR="00BB2F4A" w:rsidRPr="00BB2F4A">
        <w:rPr>
          <w:sz w:val="24"/>
        </w:rPr>
        <w:t>Tom</w:t>
      </w:r>
      <w:r w:rsidR="00BB2F4A">
        <w:rPr>
          <w:sz w:val="24"/>
        </w:rPr>
        <w:t xml:space="preserve"> </w:t>
      </w:r>
      <w:r w:rsidR="00BB2F4A" w:rsidRPr="00BB2F4A">
        <w:rPr>
          <w:sz w:val="24"/>
        </w:rPr>
        <w:t>Middlemiss</w:t>
      </w:r>
    </w:p>
    <w:p w14:paraId="47E66598" w14:textId="770E8CD9" w:rsidR="00D46F50" w:rsidRDefault="00D46F50">
      <w:pPr>
        <w:rPr>
          <w:rFonts w:ascii="Segoe UI" w:eastAsiaTheme="majorEastAsia" w:hAnsi="Segoe UI" w:cstheme="majorBidi"/>
          <w:b/>
          <w:sz w:val="48"/>
          <w:szCs w:val="32"/>
        </w:rPr>
      </w:pPr>
      <w:r>
        <w:br w:type="page"/>
      </w:r>
    </w:p>
    <w:p w14:paraId="11F3AD42" w14:textId="77777777" w:rsidR="000A2412" w:rsidRDefault="000A2412" w:rsidP="000A2412">
      <w:pPr>
        <w:pStyle w:val="Heading1"/>
      </w:pPr>
      <w:bookmarkStart w:id="1" w:name="_Toc41474436"/>
      <w:bookmarkStart w:id="2" w:name="_Toc41410739"/>
      <w:r>
        <w:lastRenderedPageBreak/>
        <w:t>Contents</w:t>
      </w:r>
      <w:bookmarkEnd w:id="1"/>
    </w:p>
    <w:p w14:paraId="488C84E3" w14:textId="77777777" w:rsidR="008E5342" w:rsidRDefault="008E5342" w:rsidP="008E5342">
      <w:pPr>
        <w:pStyle w:val="TOC1"/>
        <w:spacing w:before="240"/>
      </w:pPr>
    </w:p>
    <w:p w14:paraId="1A8F7320" w14:textId="2756EA53" w:rsidR="00652E60" w:rsidRDefault="008E5342">
      <w:pPr>
        <w:pStyle w:val="TOC1"/>
        <w:rPr>
          <w:rFonts w:eastAsiaTheme="minorEastAsia"/>
          <w:noProof/>
          <w:lang w:eastAsia="en-NZ"/>
        </w:rPr>
      </w:pPr>
      <w:r>
        <w:fldChar w:fldCharType="begin"/>
      </w:r>
      <w:r>
        <w:instrText xml:space="preserve"> TOC \o "1-1" \h \z \u </w:instrText>
      </w:r>
      <w:r>
        <w:fldChar w:fldCharType="separate"/>
      </w:r>
      <w:hyperlink w:anchor="_Toc41474436" w:history="1">
        <w:r w:rsidR="00652E60" w:rsidRPr="001800FC">
          <w:rPr>
            <w:rStyle w:val="Hyperlink"/>
            <w:noProof/>
          </w:rPr>
          <w:t>Contents</w:t>
        </w:r>
        <w:r w:rsidR="00652E60">
          <w:rPr>
            <w:noProof/>
            <w:webHidden/>
          </w:rPr>
          <w:tab/>
        </w:r>
        <w:r w:rsidR="00652E60">
          <w:rPr>
            <w:noProof/>
            <w:webHidden/>
          </w:rPr>
          <w:fldChar w:fldCharType="begin"/>
        </w:r>
        <w:r w:rsidR="00652E60">
          <w:rPr>
            <w:noProof/>
            <w:webHidden/>
          </w:rPr>
          <w:instrText xml:space="preserve"> PAGEREF _Toc41474436 \h </w:instrText>
        </w:r>
        <w:r w:rsidR="00652E60">
          <w:rPr>
            <w:noProof/>
            <w:webHidden/>
          </w:rPr>
        </w:r>
        <w:r w:rsidR="00652E60">
          <w:rPr>
            <w:noProof/>
            <w:webHidden/>
          </w:rPr>
          <w:fldChar w:fldCharType="separate"/>
        </w:r>
        <w:r w:rsidR="00CC108E">
          <w:rPr>
            <w:noProof/>
            <w:webHidden/>
          </w:rPr>
          <w:t>3</w:t>
        </w:r>
        <w:r w:rsidR="00652E60">
          <w:rPr>
            <w:noProof/>
            <w:webHidden/>
          </w:rPr>
          <w:fldChar w:fldCharType="end"/>
        </w:r>
      </w:hyperlink>
    </w:p>
    <w:p w14:paraId="0C403FF6" w14:textId="38803203" w:rsidR="00652E60" w:rsidRDefault="00CC108E">
      <w:pPr>
        <w:pStyle w:val="TOC1"/>
        <w:rPr>
          <w:rFonts w:eastAsiaTheme="minorEastAsia"/>
          <w:noProof/>
          <w:lang w:eastAsia="en-NZ"/>
        </w:rPr>
      </w:pPr>
      <w:hyperlink w:anchor="_Toc41474437" w:history="1">
        <w:r w:rsidR="00652E60" w:rsidRPr="001800FC">
          <w:rPr>
            <w:rStyle w:val="Hyperlink"/>
            <w:noProof/>
          </w:rPr>
          <w:t>Summary</w:t>
        </w:r>
        <w:r w:rsidR="00652E60">
          <w:rPr>
            <w:noProof/>
            <w:webHidden/>
          </w:rPr>
          <w:tab/>
        </w:r>
        <w:r w:rsidR="00652E60">
          <w:rPr>
            <w:noProof/>
            <w:webHidden/>
          </w:rPr>
          <w:fldChar w:fldCharType="begin"/>
        </w:r>
        <w:r w:rsidR="00652E60">
          <w:rPr>
            <w:noProof/>
            <w:webHidden/>
          </w:rPr>
          <w:instrText xml:space="preserve"> PAGEREF _Toc41474437 \h </w:instrText>
        </w:r>
        <w:r w:rsidR="00652E60">
          <w:rPr>
            <w:noProof/>
            <w:webHidden/>
          </w:rPr>
        </w:r>
        <w:r w:rsidR="00652E60">
          <w:rPr>
            <w:noProof/>
            <w:webHidden/>
          </w:rPr>
          <w:fldChar w:fldCharType="separate"/>
        </w:r>
        <w:r>
          <w:rPr>
            <w:noProof/>
            <w:webHidden/>
          </w:rPr>
          <w:t>4</w:t>
        </w:r>
        <w:r w:rsidR="00652E60">
          <w:rPr>
            <w:noProof/>
            <w:webHidden/>
          </w:rPr>
          <w:fldChar w:fldCharType="end"/>
        </w:r>
      </w:hyperlink>
    </w:p>
    <w:p w14:paraId="17E26FBA" w14:textId="36548BDA" w:rsidR="00652E60" w:rsidRDefault="00CC108E">
      <w:pPr>
        <w:pStyle w:val="TOC1"/>
        <w:rPr>
          <w:rFonts w:eastAsiaTheme="minorEastAsia"/>
          <w:noProof/>
          <w:lang w:eastAsia="en-NZ"/>
        </w:rPr>
      </w:pPr>
      <w:hyperlink w:anchor="_Toc41474438" w:history="1">
        <w:r w:rsidR="00652E60" w:rsidRPr="001800FC">
          <w:rPr>
            <w:rStyle w:val="Hyperlink"/>
            <w:noProof/>
          </w:rPr>
          <w:t>Introduction</w:t>
        </w:r>
        <w:r w:rsidR="00652E60">
          <w:rPr>
            <w:noProof/>
            <w:webHidden/>
          </w:rPr>
          <w:tab/>
        </w:r>
        <w:r w:rsidR="00652E60">
          <w:rPr>
            <w:noProof/>
            <w:webHidden/>
          </w:rPr>
          <w:fldChar w:fldCharType="begin"/>
        </w:r>
        <w:r w:rsidR="00652E60">
          <w:rPr>
            <w:noProof/>
            <w:webHidden/>
          </w:rPr>
          <w:instrText xml:space="preserve"> PAGEREF _Toc41474438 \h </w:instrText>
        </w:r>
        <w:r w:rsidR="00652E60">
          <w:rPr>
            <w:noProof/>
            <w:webHidden/>
          </w:rPr>
        </w:r>
        <w:r w:rsidR="00652E60">
          <w:rPr>
            <w:noProof/>
            <w:webHidden/>
          </w:rPr>
          <w:fldChar w:fldCharType="separate"/>
        </w:r>
        <w:r>
          <w:rPr>
            <w:noProof/>
            <w:webHidden/>
          </w:rPr>
          <w:t>6</w:t>
        </w:r>
        <w:r w:rsidR="00652E60">
          <w:rPr>
            <w:noProof/>
            <w:webHidden/>
          </w:rPr>
          <w:fldChar w:fldCharType="end"/>
        </w:r>
      </w:hyperlink>
    </w:p>
    <w:p w14:paraId="64E4DE40" w14:textId="02A39279" w:rsidR="00652E60" w:rsidRDefault="00CC108E">
      <w:pPr>
        <w:pStyle w:val="TOC1"/>
        <w:rPr>
          <w:rFonts w:eastAsiaTheme="minorEastAsia"/>
          <w:noProof/>
          <w:lang w:eastAsia="en-NZ"/>
        </w:rPr>
      </w:pPr>
      <w:hyperlink w:anchor="_Toc41474439" w:history="1">
        <w:r w:rsidR="00652E60" w:rsidRPr="001800FC">
          <w:rPr>
            <w:rStyle w:val="Hyperlink"/>
            <w:noProof/>
          </w:rPr>
          <w:t>Cancer Registrations</w:t>
        </w:r>
        <w:r w:rsidR="00652E60">
          <w:rPr>
            <w:noProof/>
            <w:webHidden/>
          </w:rPr>
          <w:tab/>
        </w:r>
        <w:r w:rsidR="00652E60">
          <w:rPr>
            <w:noProof/>
            <w:webHidden/>
          </w:rPr>
          <w:fldChar w:fldCharType="begin"/>
        </w:r>
        <w:r w:rsidR="00652E60">
          <w:rPr>
            <w:noProof/>
            <w:webHidden/>
          </w:rPr>
          <w:instrText xml:space="preserve"> PAGEREF _Toc41474439 \h </w:instrText>
        </w:r>
        <w:r w:rsidR="00652E60">
          <w:rPr>
            <w:noProof/>
            <w:webHidden/>
          </w:rPr>
        </w:r>
        <w:r w:rsidR="00652E60">
          <w:rPr>
            <w:noProof/>
            <w:webHidden/>
          </w:rPr>
          <w:fldChar w:fldCharType="separate"/>
        </w:r>
        <w:r>
          <w:rPr>
            <w:noProof/>
            <w:webHidden/>
          </w:rPr>
          <w:t>7</w:t>
        </w:r>
        <w:r w:rsidR="00652E60">
          <w:rPr>
            <w:noProof/>
            <w:webHidden/>
          </w:rPr>
          <w:fldChar w:fldCharType="end"/>
        </w:r>
      </w:hyperlink>
    </w:p>
    <w:p w14:paraId="3B2F397B" w14:textId="4D5A0929" w:rsidR="00652E60" w:rsidRDefault="00CC108E">
      <w:pPr>
        <w:pStyle w:val="TOC1"/>
        <w:rPr>
          <w:rFonts w:eastAsiaTheme="minorEastAsia"/>
          <w:noProof/>
          <w:lang w:eastAsia="en-NZ"/>
        </w:rPr>
      </w:pPr>
      <w:hyperlink w:anchor="_Toc41474440" w:history="1">
        <w:r w:rsidR="00652E60" w:rsidRPr="001800FC">
          <w:rPr>
            <w:rStyle w:val="Hyperlink"/>
            <w:noProof/>
          </w:rPr>
          <w:t>Gastrointestinal endoscopy</w:t>
        </w:r>
        <w:r w:rsidR="00652E60">
          <w:rPr>
            <w:noProof/>
            <w:webHidden/>
          </w:rPr>
          <w:tab/>
        </w:r>
        <w:r w:rsidR="00652E60">
          <w:rPr>
            <w:noProof/>
            <w:webHidden/>
          </w:rPr>
          <w:fldChar w:fldCharType="begin"/>
        </w:r>
        <w:r w:rsidR="00652E60">
          <w:rPr>
            <w:noProof/>
            <w:webHidden/>
          </w:rPr>
          <w:instrText xml:space="preserve"> PAGEREF _Toc41474440 \h </w:instrText>
        </w:r>
        <w:r w:rsidR="00652E60">
          <w:rPr>
            <w:noProof/>
            <w:webHidden/>
          </w:rPr>
        </w:r>
        <w:r w:rsidR="00652E60">
          <w:rPr>
            <w:noProof/>
            <w:webHidden/>
          </w:rPr>
          <w:fldChar w:fldCharType="separate"/>
        </w:r>
        <w:r>
          <w:rPr>
            <w:noProof/>
            <w:webHidden/>
          </w:rPr>
          <w:t>12</w:t>
        </w:r>
        <w:r w:rsidR="00652E60">
          <w:rPr>
            <w:noProof/>
            <w:webHidden/>
          </w:rPr>
          <w:fldChar w:fldCharType="end"/>
        </w:r>
      </w:hyperlink>
    </w:p>
    <w:p w14:paraId="1DBD03AB" w14:textId="2EA34EC3" w:rsidR="00652E60" w:rsidRDefault="00CC108E">
      <w:pPr>
        <w:pStyle w:val="TOC1"/>
        <w:rPr>
          <w:rFonts w:eastAsiaTheme="minorEastAsia"/>
          <w:noProof/>
          <w:lang w:eastAsia="en-NZ"/>
        </w:rPr>
      </w:pPr>
      <w:hyperlink w:anchor="_Toc41474441" w:history="1">
        <w:r w:rsidR="00652E60" w:rsidRPr="001800FC">
          <w:rPr>
            <w:rStyle w:val="Hyperlink"/>
            <w:noProof/>
          </w:rPr>
          <w:t>Bronchoscopy</w:t>
        </w:r>
        <w:r w:rsidR="00652E60">
          <w:rPr>
            <w:noProof/>
            <w:webHidden/>
          </w:rPr>
          <w:tab/>
        </w:r>
        <w:r w:rsidR="00652E60">
          <w:rPr>
            <w:noProof/>
            <w:webHidden/>
          </w:rPr>
          <w:fldChar w:fldCharType="begin"/>
        </w:r>
        <w:r w:rsidR="00652E60">
          <w:rPr>
            <w:noProof/>
            <w:webHidden/>
          </w:rPr>
          <w:instrText xml:space="preserve"> PAGEREF _Toc41474441 \h </w:instrText>
        </w:r>
        <w:r w:rsidR="00652E60">
          <w:rPr>
            <w:noProof/>
            <w:webHidden/>
          </w:rPr>
        </w:r>
        <w:r w:rsidR="00652E60">
          <w:rPr>
            <w:noProof/>
            <w:webHidden/>
          </w:rPr>
          <w:fldChar w:fldCharType="separate"/>
        </w:r>
        <w:r>
          <w:rPr>
            <w:noProof/>
            <w:webHidden/>
          </w:rPr>
          <w:t>13</w:t>
        </w:r>
        <w:r w:rsidR="00652E60">
          <w:rPr>
            <w:noProof/>
            <w:webHidden/>
          </w:rPr>
          <w:fldChar w:fldCharType="end"/>
        </w:r>
      </w:hyperlink>
    </w:p>
    <w:p w14:paraId="774284BE" w14:textId="17F27802" w:rsidR="00652E60" w:rsidRDefault="00CC108E">
      <w:pPr>
        <w:pStyle w:val="TOC1"/>
        <w:rPr>
          <w:rFonts w:eastAsiaTheme="minorEastAsia"/>
          <w:noProof/>
          <w:lang w:eastAsia="en-NZ"/>
        </w:rPr>
      </w:pPr>
      <w:hyperlink w:anchor="_Toc41474442" w:history="1">
        <w:r w:rsidR="00652E60" w:rsidRPr="001800FC">
          <w:rPr>
            <w:rStyle w:val="Hyperlink"/>
            <w:noProof/>
          </w:rPr>
          <w:t>Combined curative cancer surgery</w:t>
        </w:r>
        <w:r w:rsidR="00652E60">
          <w:rPr>
            <w:noProof/>
            <w:webHidden/>
          </w:rPr>
          <w:tab/>
        </w:r>
        <w:r w:rsidR="00652E60">
          <w:rPr>
            <w:noProof/>
            <w:webHidden/>
          </w:rPr>
          <w:fldChar w:fldCharType="begin"/>
        </w:r>
        <w:r w:rsidR="00652E60">
          <w:rPr>
            <w:noProof/>
            <w:webHidden/>
          </w:rPr>
          <w:instrText xml:space="preserve"> PAGEREF _Toc41474442 \h </w:instrText>
        </w:r>
        <w:r w:rsidR="00652E60">
          <w:rPr>
            <w:noProof/>
            <w:webHidden/>
          </w:rPr>
        </w:r>
        <w:r w:rsidR="00652E60">
          <w:rPr>
            <w:noProof/>
            <w:webHidden/>
          </w:rPr>
          <w:fldChar w:fldCharType="separate"/>
        </w:r>
        <w:r>
          <w:rPr>
            <w:noProof/>
            <w:webHidden/>
          </w:rPr>
          <w:t>15</w:t>
        </w:r>
        <w:r w:rsidR="00652E60">
          <w:rPr>
            <w:noProof/>
            <w:webHidden/>
          </w:rPr>
          <w:fldChar w:fldCharType="end"/>
        </w:r>
      </w:hyperlink>
    </w:p>
    <w:p w14:paraId="4DEB741E" w14:textId="36134590" w:rsidR="00652E60" w:rsidRDefault="00CC108E">
      <w:pPr>
        <w:pStyle w:val="TOC1"/>
        <w:rPr>
          <w:rFonts w:eastAsiaTheme="minorEastAsia"/>
          <w:noProof/>
          <w:lang w:eastAsia="en-NZ"/>
        </w:rPr>
      </w:pPr>
      <w:hyperlink w:anchor="_Toc41474443" w:history="1">
        <w:r w:rsidR="00652E60" w:rsidRPr="001800FC">
          <w:rPr>
            <w:rStyle w:val="Hyperlink"/>
            <w:noProof/>
          </w:rPr>
          <w:t>Colorectal cancer surgery</w:t>
        </w:r>
        <w:r w:rsidR="00652E60">
          <w:rPr>
            <w:noProof/>
            <w:webHidden/>
          </w:rPr>
          <w:tab/>
        </w:r>
        <w:r w:rsidR="00652E60">
          <w:rPr>
            <w:noProof/>
            <w:webHidden/>
          </w:rPr>
          <w:fldChar w:fldCharType="begin"/>
        </w:r>
        <w:r w:rsidR="00652E60">
          <w:rPr>
            <w:noProof/>
            <w:webHidden/>
          </w:rPr>
          <w:instrText xml:space="preserve"> PAGEREF _Toc41474443 \h </w:instrText>
        </w:r>
        <w:r w:rsidR="00652E60">
          <w:rPr>
            <w:noProof/>
            <w:webHidden/>
          </w:rPr>
        </w:r>
        <w:r w:rsidR="00652E60">
          <w:rPr>
            <w:noProof/>
            <w:webHidden/>
          </w:rPr>
          <w:fldChar w:fldCharType="separate"/>
        </w:r>
        <w:r>
          <w:rPr>
            <w:noProof/>
            <w:webHidden/>
          </w:rPr>
          <w:t>16</w:t>
        </w:r>
        <w:r w:rsidR="00652E60">
          <w:rPr>
            <w:noProof/>
            <w:webHidden/>
          </w:rPr>
          <w:fldChar w:fldCharType="end"/>
        </w:r>
      </w:hyperlink>
    </w:p>
    <w:p w14:paraId="5CD28FEB" w14:textId="3A432C23" w:rsidR="00652E60" w:rsidRDefault="00CC108E">
      <w:pPr>
        <w:pStyle w:val="TOC1"/>
        <w:rPr>
          <w:rFonts w:eastAsiaTheme="minorEastAsia"/>
          <w:noProof/>
          <w:lang w:eastAsia="en-NZ"/>
        </w:rPr>
      </w:pPr>
      <w:hyperlink w:anchor="_Toc41474444" w:history="1">
        <w:r w:rsidR="00652E60" w:rsidRPr="001800FC">
          <w:rPr>
            <w:rStyle w:val="Hyperlink"/>
            <w:noProof/>
          </w:rPr>
          <w:t>Lung cancer surgery</w:t>
        </w:r>
        <w:r w:rsidR="00652E60">
          <w:rPr>
            <w:noProof/>
            <w:webHidden/>
          </w:rPr>
          <w:tab/>
        </w:r>
        <w:r w:rsidR="00652E60">
          <w:rPr>
            <w:noProof/>
            <w:webHidden/>
          </w:rPr>
          <w:fldChar w:fldCharType="begin"/>
        </w:r>
        <w:r w:rsidR="00652E60">
          <w:rPr>
            <w:noProof/>
            <w:webHidden/>
          </w:rPr>
          <w:instrText xml:space="preserve"> PAGEREF _Toc41474444 \h </w:instrText>
        </w:r>
        <w:r w:rsidR="00652E60">
          <w:rPr>
            <w:noProof/>
            <w:webHidden/>
          </w:rPr>
        </w:r>
        <w:r w:rsidR="00652E60">
          <w:rPr>
            <w:noProof/>
            <w:webHidden/>
          </w:rPr>
          <w:fldChar w:fldCharType="separate"/>
        </w:r>
        <w:r>
          <w:rPr>
            <w:noProof/>
            <w:webHidden/>
          </w:rPr>
          <w:t>18</w:t>
        </w:r>
        <w:r w:rsidR="00652E60">
          <w:rPr>
            <w:noProof/>
            <w:webHidden/>
          </w:rPr>
          <w:fldChar w:fldCharType="end"/>
        </w:r>
      </w:hyperlink>
    </w:p>
    <w:p w14:paraId="14E80F3A" w14:textId="4A675E4B" w:rsidR="00652E60" w:rsidRDefault="00CC108E">
      <w:pPr>
        <w:pStyle w:val="TOC1"/>
        <w:rPr>
          <w:rFonts w:eastAsiaTheme="minorEastAsia"/>
          <w:noProof/>
          <w:lang w:eastAsia="en-NZ"/>
        </w:rPr>
      </w:pPr>
      <w:hyperlink w:anchor="_Toc41474445" w:history="1">
        <w:r w:rsidR="00652E60" w:rsidRPr="001800FC">
          <w:rPr>
            <w:rStyle w:val="Hyperlink"/>
            <w:noProof/>
          </w:rPr>
          <w:t>Prostate cancer surgery</w:t>
        </w:r>
        <w:r w:rsidR="00652E60">
          <w:rPr>
            <w:noProof/>
            <w:webHidden/>
          </w:rPr>
          <w:tab/>
        </w:r>
        <w:r w:rsidR="00652E60">
          <w:rPr>
            <w:noProof/>
            <w:webHidden/>
          </w:rPr>
          <w:fldChar w:fldCharType="begin"/>
        </w:r>
        <w:r w:rsidR="00652E60">
          <w:rPr>
            <w:noProof/>
            <w:webHidden/>
          </w:rPr>
          <w:instrText xml:space="preserve"> PAGEREF _Toc41474445 \h </w:instrText>
        </w:r>
        <w:r w:rsidR="00652E60">
          <w:rPr>
            <w:noProof/>
            <w:webHidden/>
          </w:rPr>
        </w:r>
        <w:r w:rsidR="00652E60">
          <w:rPr>
            <w:noProof/>
            <w:webHidden/>
          </w:rPr>
          <w:fldChar w:fldCharType="separate"/>
        </w:r>
        <w:r>
          <w:rPr>
            <w:noProof/>
            <w:webHidden/>
          </w:rPr>
          <w:t>20</w:t>
        </w:r>
        <w:r w:rsidR="00652E60">
          <w:rPr>
            <w:noProof/>
            <w:webHidden/>
          </w:rPr>
          <w:fldChar w:fldCharType="end"/>
        </w:r>
      </w:hyperlink>
    </w:p>
    <w:p w14:paraId="259CEA48" w14:textId="62E910C0" w:rsidR="00652E60" w:rsidRDefault="00CC108E">
      <w:pPr>
        <w:pStyle w:val="TOC1"/>
        <w:rPr>
          <w:rFonts w:eastAsiaTheme="minorEastAsia"/>
          <w:noProof/>
          <w:lang w:eastAsia="en-NZ"/>
        </w:rPr>
      </w:pPr>
      <w:hyperlink w:anchor="_Toc41474446" w:history="1">
        <w:r w:rsidR="00652E60" w:rsidRPr="001800FC">
          <w:rPr>
            <w:rStyle w:val="Hyperlink"/>
            <w:noProof/>
          </w:rPr>
          <w:t>Medical oncology</w:t>
        </w:r>
        <w:r w:rsidR="00652E60">
          <w:rPr>
            <w:noProof/>
            <w:webHidden/>
          </w:rPr>
          <w:tab/>
        </w:r>
        <w:r w:rsidR="00652E60">
          <w:rPr>
            <w:noProof/>
            <w:webHidden/>
          </w:rPr>
          <w:fldChar w:fldCharType="begin"/>
        </w:r>
        <w:r w:rsidR="00652E60">
          <w:rPr>
            <w:noProof/>
            <w:webHidden/>
          </w:rPr>
          <w:instrText xml:space="preserve"> PAGEREF _Toc41474446 \h </w:instrText>
        </w:r>
        <w:r w:rsidR="00652E60">
          <w:rPr>
            <w:noProof/>
            <w:webHidden/>
          </w:rPr>
        </w:r>
        <w:r w:rsidR="00652E60">
          <w:rPr>
            <w:noProof/>
            <w:webHidden/>
          </w:rPr>
          <w:fldChar w:fldCharType="separate"/>
        </w:r>
        <w:r>
          <w:rPr>
            <w:noProof/>
            <w:webHidden/>
          </w:rPr>
          <w:t>21</w:t>
        </w:r>
        <w:r w:rsidR="00652E60">
          <w:rPr>
            <w:noProof/>
            <w:webHidden/>
          </w:rPr>
          <w:fldChar w:fldCharType="end"/>
        </w:r>
      </w:hyperlink>
    </w:p>
    <w:p w14:paraId="0FD48734" w14:textId="52C62D37" w:rsidR="00652E60" w:rsidRDefault="00CC108E">
      <w:pPr>
        <w:pStyle w:val="TOC1"/>
        <w:rPr>
          <w:rFonts w:eastAsiaTheme="minorEastAsia"/>
          <w:noProof/>
          <w:lang w:eastAsia="en-NZ"/>
        </w:rPr>
      </w:pPr>
      <w:hyperlink w:anchor="_Toc41474447" w:history="1">
        <w:r w:rsidR="00652E60" w:rsidRPr="001800FC">
          <w:rPr>
            <w:rStyle w:val="Hyperlink"/>
            <w:noProof/>
          </w:rPr>
          <w:t>Radiation oncology</w:t>
        </w:r>
        <w:r w:rsidR="00652E60">
          <w:rPr>
            <w:noProof/>
            <w:webHidden/>
          </w:rPr>
          <w:tab/>
        </w:r>
        <w:r w:rsidR="00652E60">
          <w:rPr>
            <w:noProof/>
            <w:webHidden/>
          </w:rPr>
          <w:fldChar w:fldCharType="begin"/>
        </w:r>
        <w:r w:rsidR="00652E60">
          <w:rPr>
            <w:noProof/>
            <w:webHidden/>
          </w:rPr>
          <w:instrText xml:space="preserve"> PAGEREF _Toc41474447 \h </w:instrText>
        </w:r>
        <w:r w:rsidR="00652E60">
          <w:rPr>
            <w:noProof/>
            <w:webHidden/>
          </w:rPr>
        </w:r>
        <w:r w:rsidR="00652E60">
          <w:rPr>
            <w:noProof/>
            <w:webHidden/>
          </w:rPr>
          <w:fldChar w:fldCharType="separate"/>
        </w:r>
        <w:r>
          <w:rPr>
            <w:noProof/>
            <w:webHidden/>
          </w:rPr>
          <w:t>24</w:t>
        </w:r>
        <w:r w:rsidR="00652E60">
          <w:rPr>
            <w:noProof/>
            <w:webHidden/>
          </w:rPr>
          <w:fldChar w:fldCharType="end"/>
        </w:r>
      </w:hyperlink>
    </w:p>
    <w:p w14:paraId="67538E76" w14:textId="71E147AB" w:rsidR="00652E60" w:rsidRDefault="00CC108E">
      <w:pPr>
        <w:pStyle w:val="TOC1"/>
        <w:rPr>
          <w:rFonts w:eastAsiaTheme="minorEastAsia"/>
          <w:noProof/>
          <w:lang w:eastAsia="en-NZ"/>
        </w:rPr>
      </w:pPr>
      <w:hyperlink w:anchor="_Toc41474448" w:history="1">
        <w:r w:rsidR="00652E60" w:rsidRPr="001800FC">
          <w:rPr>
            <w:rStyle w:val="Hyperlink"/>
            <w:noProof/>
          </w:rPr>
          <w:t>Haematology</w:t>
        </w:r>
        <w:r w:rsidR="00652E60">
          <w:rPr>
            <w:noProof/>
            <w:webHidden/>
          </w:rPr>
          <w:tab/>
        </w:r>
        <w:r w:rsidR="00652E60">
          <w:rPr>
            <w:noProof/>
            <w:webHidden/>
          </w:rPr>
          <w:fldChar w:fldCharType="begin"/>
        </w:r>
        <w:r w:rsidR="00652E60">
          <w:rPr>
            <w:noProof/>
            <w:webHidden/>
          </w:rPr>
          <w:instrText xml:space="preserve"> PAGEREF _Toc41474448 \h </w:instrText>
        </w:r>
        <w:r w:rsidR="00652E60">
          <w:rPr>
            <w:noProof/>
            <w:webHidden/>
          </w:rPr>
        </w:r>
        <w:r w:rsidR="00652E60">
          <w:rPr>
            <w:noProof/>
            <w:webHidden/>
          </w:rPr>
          <w:fldChar w:fldCharType="separate"/>
        </w:r>
        <w:r>
          <w:rPr>
            <w:noProof/>
            <w:webHidden/>
          </w:rPr>
          <w:t>27</w:t>
        </w:r>
        <w:r w:rsidR="00652E60">
          <w:rPr>
            <w:noProof/>
            <w:webHidden/>
          </w:rPr>
          <w:fldChar w:fldCharType="end"/>
        </w:r>
      </w:hyperlink>
    </w:p>
    <w:p w14:paraId="0B8D2408" w14:textId="64954A48" w:rsidR="00652E60" w:rsidRDefault="00CC108E">
      <w:pPr>
        <w:pStyle w:val="TOC1"/>
        <w:rPr>
          <w:rFonts w:eastAsiaTheme="minorEastAsia"/>
          <w:noProof/>
          <w:lang w:eastAsia="en-NZ"/>
        </w:rPr>
      </w:pPr>
      <w:hyperlink w:anchor="_Toc41474449" w:history="1">
        <w:r w:rsidR="00652E60" w:rsidRPr="001800FC">
          <w:rPr>
            <w:rStyle w:val="Hyperlink"/>
            <w:noProof/>
          </w:rPr>
          <w:t>Conclusions</w:t>
        </w:r>
        <w:r w:rsidR="00652E60">
          <w:rPr>
            <w:noProof/>
            <w:webHidden/>
          </w:rPr>
          <w:tab/>
        </w:r>
        <w:r w:rsidR="00652E60">
          <w:rPr>
            <w:noProof/>
            <w:webHidden/>
          </w:rPr>
          <w:fldChar w:fldCharType="begin"/>
        </w:r>
        <w:r w:rsidR="00652E60">
          <w:rPr>
            <w:noProof/>
            <w:webHidden/>
          </w:rPr>
          <w:instrText xml:space="preserve"> PAGEREF _Toc41474449 \h </w:instrText>
        </w:r>
        <w:r w:rsidR="00652E60">
          <w:rPr>
            <w:noProof/>
            <w:webHidden/>
          </w:rPr>
        </w:r>
        <w:r w:rsidR="00652E60">
          <w:rPr>
            <w:noProof/>
            <w:webHidden/>
          </w:rPr>
          <w:fldChar w:fldCharType="separate"/>
        </w:r>
        <w:r>
          <w:rPr>
            <w:noProof/>
            <w:webHidden/>
          </w:rPr>
          <w:t>30</w:t>
        </w:r>
        <w:r w:rsidR="00652E60">
          <w:rPr>
            <w:noProof/>
            <w:webHidden/>
          </w:rPr>
          <w:fldChar w:fldCharType="end"/>
        </w:r>
      </w:hyperlink>
    </w:p>
    <w:p w14:paraId="40ABEE3E" w14:textId="5EF6553A" w:rsidR="00652E60" w:rsidRDefault="00CC108E">
      <w:pPr>
        <w:pStyle w:val="TOC1"/>
        <w:rPr>
          <w:rFonts w:eastAsiaTheme="minorEastAsia"/>
          <w:noProof/>
          <w:lang w:eastAsia="en-NZ"/>
        </w:rPr>
      </w:pPr>
      <w:hyperlink w:anchor="_Toc41474450" w:history="1">
        <w:r w:rsidR="00652E60" w:rsidRPr="001800FC">
          <w:rPr>
            <w:rStyle w:val="Hyperlink"/>
            <w:noProof/>
          </w:rPr>
          <w:t>Appendix 1: NZCR data</w:t>
        </w:r>
        <w:r w:rsidR="00652E60">
          <w:rPr>
            <w:noProof/>
            <w:webHidden/>
          </w:rPr>
          <w:tab/>
        </w:r>
        <w:r w:rsidR="00652E60">
          <w:rPr>
            <w:noProof/>
            <w:webHidden/>
          </w:rPr>
          <w:fldChar w:fldCharType="begin"/>
        </w:r>
        <w:r w:rsidR="00652E60">
          <w:rPr>
            <w:noProof/>
            <w:webHidden/>
          </w:rPr>
          <w:instrText xml:space="preserve"> PAGEREF _Toc41474450 \h </w:instrText>
        </w:r>
        <w:r w:rsidR="00652E60">
          <w:rPr>
            <w:noProof/>
            <w:webHidden/>
          </w:rPr>
        </w:r>
        <w:r w:rsidR="00652E60">
          <w:rPr>
            <w:noProof/>
            <w:webHidden/>
          </w:rPr>
          <w:fldChar w:fldCharType="separate"/>
        </w:r>
        <w:r>
          <w:rPr>
            <w:noProof/>
            <w:webHidden/>
          </w:rPr>
          <w:t>31</w:t>
        </w:r>
        <w:r w:rsidR="00652E60">
          <w:rPr>
            <w:noProof/>
            <w:webHidden/>
          </w:rPr>
          <w:fldChar w:fldCharType="end"/>
        </w:r>
      </w:hyperlink>
    </w:p>
    <w:p w14:paraId="1EDFA83A" w14:textId="7BC27A26" w:rsidR="00652E60" w:rsidRDefault="00CC108E">
      <w:pPr>
        <w:pStyle w:val="TOC1"/>
        <w:rPr>
          <w:rFonts w:eastAsiaTheme="minorEastAsia"/>
          <w:noProof/>
          <w:lang w:eastAsia="en-NZ"/>
        </w:rPr>
      </w:pPr>
      <w:hyperlink w:anchor="_Toc41474451" w:history="1">
        <w:r w:rsidR="00652E60" w:rsidRPr="001800FC">
          <w:rPr>
            <w:rStyle w:val="Hyperlink"/>
            <w:noProof/>
          </w:rPr>
          <w:t>Appendix 2: NZCR registrations by DHB</w:t>
        </w:r>
        <w:r w:rsidR="00652E60">
          <w:rPr>
            <w:noProof/>
            <w:webHidden/>
          </w:rPr>
          <w:tab/>
        </w:r>
        <w:r w:rsidR="00652E60">
          <w:rPr>
            <w:noProof/>
            <w:webHidden/>
          </w:rPr>
          <w:fldChar w:fldCharType="begin"/>
        </w:r>
        <w:r w:rsidR="00652E60">
          <w:rPr>
            <w:noProof/>
            <w:webHidden/>
          </w:rPr>
          <w:instrText xml:space="preserve"> PAGEREF _Toc41474451 \h </w:instrText>
        </w:r>
        <w:r w:rsidR="00652E60">
          <w:rPr>
            <w:noProof/>
            <w:webHidden/>
          </w:rPr>
        </w:r>
        <w:r w:rsidR="00652E60">
          <w:rPr>
            <w:noProof/>
            <w:webHidden/>
          </w:rPr>
          <w:fldChar w:fldCharType="separate"/>
        </w:r>
        <w:r>
          <w:rPr>
            <w:noProof/>
            <w:webHidden/>
          </w:rPr>
          <w:t>32</w:t>
        </w:r>
        <w:r w:rsidR="00652E60">
          <w:rPr>
            <w:noProof/>
            <w:webHidden/>
          </w:rPr>
          <w:fldChar w:fldCharType="end"/>
        </w:r>
      </w:hyperlink>
    </w:p>
    <w:p w14:paraId="05457B89" w14:textId="7D27311F" w:rsidR="00652E60" w:rsidRDefault="00CC108E">
      <w:pPr>
        <w:pStyle w:val="TOC1"/>
        <w:rPr>
          <w:rFonts w:eastAsiaTheme="minorEastAsia"/>
          <w:noProof/>
          <w:lang w:eastAsia="en-NZ"/>
        </w:rPr>
      </w:pPr>
      <w:hyperlink w:anchor="_Toc41474452" w:history="1">
        <w:r w:rsidR="00652E60" w:rsidRPr="001800FC">
          <w:rPr>
            <w:rStyle w:val="Hyperlink"/>
            <w:noProof/>
          </w:rPr>
          <w:t>Appendix 3: Surgical procedure codes</w:t>
        </w:r>
        <w:r w:rsidR="00652E60">
          <w:rPr>
            <w:noProof/>
            <w:webHidden/>
          </w:rPr>
          <w:tab/>
        </w:r>
        <w:r w:rsidR="00652E60">
          <w:rPr>
            <w:noProof/>
            <w:webHidden/>
          </w:rPr>
          <w:fldChar w:fldCharType="begin"/>
        </w:r>
        <w:r w:rsidR="00652E60">
          <w:rPr>
            <w:noProof/>
            <w:webHidden/>
          </w:rPr>
          <w:instrText xml:space="preserve"> PAGEREF _Toc41474452 \h </w:instrText>
        </w:r>
        <w:r w:rsidR="00652E60">
          <w:rPr>
            <w:noProof/>
            <w:webHidden/>
          </w:rPr>
        </w:r>
        <w:r w:rsidR="00652E60">
          <w:rPr>
            <w:noProof/>
            <w:webHidden/>
          </w:rPr>
          <w:fldChar w:fldCharType="separate"/>
        </w:r>
        <w:r>
          <w:rPr>
            <w:noProof/>
            <w:webHidden/>
          </w:rPr>
          <w:t>36</w:t>
        </w:r>
        <w:r w:rsidR="00652E60">
          <w:rPr>
            <w:noProof/>
            <w:webHidden/>
          </w:rPr>
          <w:fldChar w:fldCharType="end"/>
        </w:r>
      </w:hyperlink>
    </w:p>
    <w:p w14:paraId="79DEE500" w14:textId="0C04431D" w:rsidR="000A2412" w:rsidRDefault="008E5342" w:rsidP="008E5342">
      <w:r>
        <w:fldChar w:fldCharType="end"/>
      </w:r>
      <w:r w:rsidR="000A2412">
        <w:br w:type="page"/>
      </w:r>
    </w:p>
    <w:p w14:paraId="3CB2A8CB" w14:textId="11A81FF6" w:rsidR="00976DFA" w:rsidRDefault="00976DFA" w:rsidP="00EB2B17">
      <w:pPr>
        <w:pStyle w:val="Heading1"/>
        <w:spacing w:after="360"/>
      </w:pPr>
      <w:bookmarkStart w:id="3" w:name="_Toc41474437"/>
      <w:r>
        <w:lastRenderedPageBreak/>
        <w:t>Summary</w:t>
      </w:r>
      <w:bookmarkEnd w:id="2"/>
      <w:bookmarkEnd w:id="3"/>
    </w:p>
    <w:p w14:paraId="34499456" w14:textId="24A2F2FF" w:rsidR="003861BB" w:rsidRPr="003861BB" w:rsidRDefault="003861BB" w:rsidP="003861BB">
      <w:pPr>
        <w:pBdr>
          <w:top w:val="single" w:sz="18" w:space="1" w:color="auto"/>
          <w:left w:val="single" w:sz="18" w:space="4" w:color="auto"/>
          <w:bottom w:val="single" w:sz="18" w:space="1" w:color="auto"/>
          <w:right w:val="single" w:sz="18" w:space="4" w:color="auto"/>
        </w:pBdr>
        <w:rPr>
          <w:b/>
        </w:rPr>
      </w:pPr>
      <w:r>
        <w:rPr>
          <w:b/>
        </w:rPr>
        <w:t>Overview of impact of COVID-19 lockdown on cancer diagnosis and treatment</w:t>
      </w:r>
    </w:p>
    <w:p w14:paraId="1F800D1E" w14:textId="4C222188" w:rsidR="00CA5926" w:rsidRDefault="00152004" w:rsidP="003861BB">
      <w:pPr>
        <w:pBdr>
          <w:top w:val="single" w:sz="18" w:space="1" w:color="auto"/>
          <w:left w:val="single" w:sz="18" w:space="4" w:color="auto"/>
          <w:bottom w:val="single" w:sz="18" w:space="1" w:color="auto"/>
          <w:right w:val="single" w:sz="18" w:space="4" w:color="auto"/>
        </w:pBdr>
      </w:pPr>
      <w:r>
        <w:t>C</w:t>
      </w:r>
      <w:r w:rsidR="000A2412">
        <w:t>ancer t</w:t>
      </w:r>
      <w:r w:rsidR="008C42B5" w:rsidRPr="00EB2B17">
        <w:t xml:space="preserve">reatment </w:t>
      </w:r>
      <w:r w:rsidR="000A2412">
        <w:t xml:space="preserve">services were </w:t>
      </w:r>
      <w:r w:rsidR="007D0E44">
        <w:t xml:space="preserve">largely </w:t>
      </w:r>
      <w:r w:rsidR="000A2412">
        <w:t xml:space="preserve">maintained </w:t>
      </w:r>
      <w:r w:rsidR="008C42B5" w:rsidRPr="00EB2B17">
        <w:t xml:space="preserve">during the COVID-19 </w:t>
      </w:r>
      <w:r w:rsidR="00EB2B17">
        <w:t xml:space="preserve">lockdown. </w:t>
      </w:r>
      <w:r w:rsidR="003861BB">
        <w:t xml:space="preserve">This was the result of a </w:t>
      </w:r>
      <w:r>
        <w:t>rapid</w:t>
      </w:r>
      <w:r w:rsidR="003861BB">
        <w:t xml:space="preserve"> collective response from the cancer sector across New Zealand, with </w:t>
      </w:r>
      <w:r>
        <w:t>strong</w:t>
      </w:r>
      <w:r w:rsidR="003861BB">
        <w:t xml:space="preserve"> central leadership from the Cancer Control Agency. </w:t>
      </w:r>
      <w:r w:rsidR="00EB2B17">
        <w:t xml:space="preserve">However, there </w:t>
      </w:r>
      <w:r w:rsidR="00EB2B17" w:rsidRPr="00EB2B17">
        <w:t>was a</w:t>
      </w:r>
      <w:r w:rsidR="0044559B">
        <w:t xml:space="preserve"> large</w:t>
      </w:r>
      <w:r w:rsidR="00EB2B17" w:rsidRPr="00EB2B17">
        <w:t xml:space="preserve"> disruption to diagnostic services, </w:t>
      </w:r>
      <w:r w:rsidR="00CA5926">
        <w:t>contributing to</w:t>
      </w:r>
      <w:r w:rsidR="00EB2B17" w:rsidRPr="00EB2B17">
        <w:t xml:space="preserve"> a significant reduction in </w:t>
      </w:r>
      <w:r w:rsidR="00EB2B17">
        <w:t xml:space="preserve">new </w:t>
      </w:r>
      <w:r w:rsidR="00EB2B17" w:rsidRPr="00EB2B17">
        <w:t>cancer diagnoses.</w:t>
      </w:r>
      <w:r>
        <w:t xml:space="preserve"> </w:t>
      </w:r>
      <w:r w:rsidR="00574BAC">
        <w:t xml:space="preserve">In </w:t>
      </w:r>
      <w:r w:rsidR="009200E5">
        <w:t>general,</w:t>
      </w:r>
      <w:r w:rsidR="00E70005">
        <w:t xml:space="preserve"> </w:t>
      </w:r>
      <w:r w:rsidR="009200E5">
        <w:t xml:space="preserve">to date, </w:t>
      </w:r>
      <w:r w:rsidR="00EB2B17">
        <w:t xml:space="preserve">the disruptions </w:t>
      </w:r>
      <w:r w:rsidR="003736CE">
        <w:t>to</w:t>
      </w:r>
      <w:r w:rsidR="00EB2B17">
        <w:t xml:space="preserve"> the cancer </w:t>
      </w:r>
      <w:r w:rsidR="003736CE">
        <w:t>c</w:t>
      </w:r>
      <w:r w:rsidR="00EB2B17">
        <w:t>are pathway have not</w:t>
      </w:r>
      <w:r w:rsidR="00E26923">
        <w:t xml:space="preserve"> increased inequitie</w:t>
      </w:r>
      <w:r w:rsidR="00A47229">
        <w:t xml:space="preserve">s </w:t>
      </w:r>
      <w:r w:rsidR="00A47229" w:rsidRPr="00574BAC">
        <w:t xml:space="preserve">for </w:t>
      </w:r>
      <w:r w:rsidR="00A41994" w:rsidRPr="00574BAC">
        <w:t>Māori</w:t>
      </w:r>
      <w:r w:rsidR="009200E5">
        <w:t xml:space="preserve">. </w:t>
      </w:r>
    </w:p>
    <w:p w14:paraId="3BB0929B" w14:textId="216D5BB8" w:rsidR="00AB0320" w:rsidRDefault="00152004" w:rsidP="00A47229">
      <w:pPr>
        <w:pStyle w:val="Heading2"/>
      </w:pPr>
      <w:r>
        <w:t>Background and d</w:t>
      </w:r>
      <w:r w:rsidR="00AB0320">
        <w:t>ata</w:t>
      </w:r>
    </w:p>
    <w:p w14:paraId="3C83FBC7" w14:textId="77777777" w:rsidR="003861BB" w:rsidRDefault="00CA5926" w:rsidP="003861BB">
      <w:pPr>
        <w:pStyle w:val="ListParagraph"/>
        <w:numPr>
          <w:ilvl w:val="0"/>
          <w:numId w:val="46"/>
        </w:numPr>
      </w:pPr>
      <w:r w:rsidRPr="00BA763E">
        <w:t xml:space="preserve">The purpose of this analysis was to </w:t>
      </w:r>
      <w:r w:rsidR="00AB0320" w:rsidRPr="00BA763E">
        <w:t xml:space="preserve">rapidly </w:t>
      </w:r>
      <w:r w:rsidRPr="00BA763E">
        <w:t xml:space="preserve">measure the impact of COVID-19 </w:t>
      </w:r>
      <w:r w:rsidR="00AB0320" w:rsidRPr="00BA763E">
        <w:t>and the lockdown on cancer services.</w:t>
      </w:r>
      <w:r w:rsidR="003861BB">
        <w:t xml:space="preserve"> </w:t>
      </w:r>
    </w:p>
    <w:p w14:paraId="0F57213D" w14:textId="456B32AD" w:rsidR="00BA763E" w:rsidRDefault="00BA763E" w:rsidP="003861BB">
      <w:pPr>
        <w:pStyle w:val="ListParagraph"/>
        <w:numPr>
          <w:ilvl w:val="0"/>
          <w:numId w:val="46"/>
        </w:numPr>
      </w:pPr>
      <w:r>
        <w:t>C</w:t>
      </w:r>
      <w:r w:rsidRPr="00AB0320">
        <w:t>omparisons between 2020 and 2019 do not consider any projected increase in diagnoses over time.</w:t>
      </w:r>
    </w:p>
    <w:p w14:paraId="491C8663" w14:textId="54C8BA28" w:rsidR="00CA5926" w:rsidRDefault="00BA763E" w:rsidP="00A47229">
      <w:pPr>
        <w:pStyle w:val="ListParagraph"/>
        <w:numPr>
          <w:ilvl w:val="0"/>
          <w:numId w:val="46"/>
        </w:numPr>
      </w:pPr>
      <w:r>
        <w:t>The focus of the report was to understand the impact</w:t>
      </w:r>
      <w:r w:rsidR="007D0E44">
        <w:t xml:space="preserve"> of COVID-19</w:t>
      </w:r>
      <w:r>
        <w:t xml:space="preserve"> </w:t>
      </w:r>
      <w:r w:rsidR="00CA5926" w:rsidRPr="00AB0320">
        <w:t>on existing service delivery</w:t>
      </w:r>
      <w:r w:rsidR="00AB0320">
        <w:t xml:space="preserve"> and</w:t>
      </w:r>
      <w:r w:rsidR="00CA5926" w:rsidRPr="00AB0320">
        <w:t xml:space="preserve"> does not </w:t>
      </w:r>
      <w:proofErr w:type="gramStart"/>
      <w:r w:rsidR="00CA5926" w:rsidRPr="00AB0320">
        <w:t>take into account</w:t>
      </w:r>
      <w:proofErr w:type="gramEnd"/>
      <w:r w:rsidR="00CA5926" w:rsidRPr="00AB0320">
        <w:t xml:space="preserve"> pre-existing unmet need</w:t>
      </w:r>
      <w:r>
        <w:t>.</w:t>
      </w:r>
    </w:p>
    <w:p w14:paraId="2ABB697A" w14:textId="54852D26" w:rsidR="00BA763E" w:rsidRDefault="00BA763E" w:rsidP="00A47229">
      <w:pPr>
        <w:pStyle w:val="ListParagraph"/>
        <w:numPr>
          <w:ilvl w:val="0"/>
          <w:numId w:val="46"/>
        </w:numPr>
      </w:pPr>
      <w:r>
        <w:t xml:space="preserve">This is </w:t>
      </w:r>
      <w:r w:rsidR="00C52D06">
        <w:t xml:space="preserve">a </w:t>
      </w:r>
      <w:r>
        <w:t xml:space="preserve">working report to assist with recovery planning. Further analysis will be completed as more data becomes available.  </w:t>
      </w:r>
    </w:p>
    <w:p w14:paraId="3DB446C4" w14:textId="2804BC35" w:rsidR="00D25909" w:rsidRPr="00D25909" w:rsidRDefault="00AF0C17" w:rsidP="00D25909">
      <w:pPr>
        <w:pStyle w:val="Heading2"/>
        <w:spacing w:before="240"/>
      </w:pPr>
      <w:r>
        <w:t xml:space="preserve">Cancer </w:t>
      </w:r>
      <w:r w:rsidR="00D25909">
        <w:t>diagnosis</w:t>
      </w:r>
    </w:p>
    <w:p w14:paraId="134576DA" w14:textId="3249E3AC" w:rsidR="00AF0C17" w:rsidRDefault="00AF0C17" w:rsidP="000C3BBC">
      <w:pPr>
        <w:pStyle w:val="ListParagraph"/>
        <w:numPr>
          <w:ilvl w:val="0"/>
          <w:numId w:val="34"/>
        </w:numPr>
      </w:pPr>
      <w:r>
        <w:t>There were 1031 fewer cancer registrations in April 2020 compared to April 2019</w:t>
      </w:r>
      <w:r w:rsidR="00D25909">
        <w:t xml:space="preserve">, </w:t>
      </w:r>
      <w:r>
        <w:t>a 47% decrease</w:t>
      </w:r>
      <w:r w:rsidR="00D25909">
        <w:t>.</w:t>
      </w:r>
      <w:r>
        <w:t xml:space="preserve"> </w:t>
      </w:r>
      <w:r w:rsidR="00152004">
        <w:t>F</w:t>
      </w:r>
      <w:r>
        <w:t xml:space="preserve">or the year to date (up until end of April 2020), there </w:t>
      </w:r>
      <w:r w:rsidR="00274D0D">
        <w:t>were</w:t>
      </w:r>
      <w:r>
        <w:t xml:space="preserve"> 500 fewer cancer registrations compared to the same time period in 2019. </w:t>
      </w:r>
    </w:p>
    <w:p w14:paraId="7EE84B69" w14:textId="1006CEA0" w:rsidR="002B4BA5" w:rsidRDefault="00AF0C17" w:rsidP="00AF0C17">
      <w:pPr>
        <w:pStyle w:val="ListParagraph"/>
        <w:numPr>
          <w:ilvl w:val="0"/>
          <w:numId w:val="34"/>
        </w:numPr>
      </w:pPr>
      <w:r>
        <w:t>The decrease in cancer registrations was similar across ethnic groups.</w:t>
      </w:r>
      <w:r w:rsidR="00D25909">
        <w:t xml:space="preserve"> Comparing the first four months of 2020 to the same time period in 2019, t</w:t>
      </w:r>
      <w:r>
        <w:t xml:space="preserve">here was a 6% decrease in registrations </w:t>
      </w:r>
      <w:r w:rsidR="00D25909">
        <w:t>f</w:t>
      </w:r>
      <w:r>
        <w:t>or both Māori and Pacific</w:t>
      </w:r>
      <w:r w:rsidR="00A41994">
        <w:t xml:space="preserve">, and </w:t>
      </w:r>
      <w:r>
        <w:t>a 7% decrease for European</w:t>
      </w:r>
      <w:r w:rsidR="00A47229">
        <w:t>/other</w:t>
      </w:r>
      <w:r>
        <w:t>.</w:t>
      </w:r>
    </w:p>
    <w:p w14:paraId="05062A05" w14:textId="04A772F1" w:rsidR="00A47229" w:rsidRDefault="00A47229" w:rsidP="00A47229">
      <w:pPr>
        <w:pStyle w:val="ListParagraph"/>
        <w:numPr>
          <w:ilvl w:val="0"/>
          <w:numId w:val="34"/>
        </w:numPr>
      </w:pPr>
      <w:r>
        <w:t xml:space="preserve">The decrease in registrations over the lockdown period </w:t>
      </w:r>
      <w:r w:rsidR="00152004">
        <w:t>is</w:t>
      </w:r>
      <w:r>
        <w:t xml:space="preserve"> </w:t>
      </w:r>
      <w:r w:rsidR="00152004">
        <w:t xml:space="preserve">seen </w:t>
      </w:r>
      <w:r>
        <w:t xml:space="preserve">across </w:t>
      </w:r>
      <w:r w:rsidR="00152004">
        <w:t xml:space="preserve">all </w:t>
      </w:r>
      <w:r>
        <w:t>tumour groups; however, the overall impact on registrations for the year to date was most marked for prostate cancer, haematology/lymphoid and breast cancers.</w:t>
      </w:r>
    </w:p>
    <w:p w14:paraId="40538D89" w14:textId="77777777" w:rsidR="00A47229" w:rsidRDefault="00A47229" w:rsidP="00A47229">
      <w:pPr>
        <w:pStyle w:val="ListParagraph"/>
        <w:numPr>
          <w:ilvl w:val="0"/>
          <w:numId w:val="34"/>
        </w:numPr>
      </w:pPr>
      <w:r>
        <w:t xml:space="preserve">The decrease in cancer registrations over the lockdown period is seen relatively consistently across all DHBs. However, the impact of the lockdown on cumulative registrations for the year to date varied by DHB. Southern DHB and Waikato DHB have seen the largest decrease in cancer registrations for the year to date. </w:t>
      </w:r>
    </w:p>
    <w:p w14:paraId="4FE93D0A" w14:textId="57C2148D" w:rsidR="009229D7" w:rsidRDefault="00AF0C17" w:rsidP="00DD3DC2">
      <w:pPr>
        <w:pStyle w:val="ListParagraph"/>
        <w:numPr>
          <w:ilvl w:val="0"/>
          <w:numId w:val="2"/>
        </w:numPr>
      </w:pPr>
      <w:r>
        <w:t xml:space="preserve">There was a substantial decrease in gastrointestinal endoscopy services </w:t>
      </w:r>
      <w:r w:rsidR="00CA5926">
        <w:t>over t</w:t>
      </w:r>
      <w:r>
        <w:t>he COVID-19 lockdown. Nationwide there were 79% fewer gastrointestinal endoscopies completed in April 2020 compared to April 2019. Māori were not disproportionately impacted by changes to endoscopy</w:t>
      </w:r>
      <w:r w:rsidR="00DD3DC2">
        <w:t>.</w:t>
      </w:r>
    </w:p>
    <w:p w14:paraId="71719012" w14:textId="14A7F717" w:rsidR="00EB2B17" w:rsidRDefault="00A47229" w:rsidP="00A47229">
      <w:pPr>
        <w:pStyle w:val="ListParagraph"/>
        <w:numPr>
          <w:ilvl w:val="0"/>
          <w:numId w:val="2"/>
        </w:numPr>
      </w:pPr>
      <w:r>
        <w:t>There was a substantial decrease in bronchoscopies performed during the lockdown, with a 75% decrease in the number of bronchoscopies performed in April 2020 compared to April 2019.</w:t>
      </w:r>
      <w:r w:rsidR="009229D7">
        <w:t xml:space="preserve"> Māori were disproportionately impacted by the decrease in bronchoscopies</w:t>
      </w:r>
      <w:r>
        <w:t xml:space="preserve"> over the first four months of the year</w:t>
      </w:r>
      <w:r w:rsidR="009229D7">
        <w:t xml:space="preserve"> (35% decrease for Māori compared to 28% decrease for non-Māori/non-Pacific). This appears to have started prior to the lockdown, with fewer bronchoscopies from February</w:t>
      </w:r>
      <w:r>
        <w:t xml:space="preserve"> 2020</w:t>
      </w:r>
      <w:r w:rsidR="009229D7">
        <w:t>.</w:t>
      </w:r>
    </w:p>
    <w:p w14:paraId="11137703" w14:textId="1F43A08A" w:rsidR="00AF0C17" w:rsidRDefault="009229D7" w:rsidP="009229D7">
      <w:pPr>
        <w:pStyle w:val="Heading2"/>
      </w:pPr>
      <w:r>
        <w:lastRenderedPageBreak/>
        <w:t>Cancer Treatment</w:t>
      </w:r>
    </w:p>
    <w:p w14:paraId="007289EE" w14:textId="1C0B87C8" w:rsidR="009229D7" w:rsidRDefault="009229D7" w:rsidP="009229D7">
      <w:pPr>
        <w:pStyle w:val="Heading3"/>
      </w:pPr>
      <w:r>
        <w:t>Surgery</w:t>
      </w:r>
    </w:p>
    <w:p w14:paraId="019BBC30" w14:textId="3D0F5E8F" w:rsidR="009229D7" w:rsidRDefault="009229D7" w:rsidP="00DD3DC2">
      <w:pPr>
        <w:pStyle w:val="ListParagraph"/>
        <w:numPr>
          <w:ilvl w:val="0"/>
          <w:numId w:val="40"/>
        </w:numPr>
      </w:pPr>
      <w:r>
        <w:t>There was a 33% decrease in curative cancer surgeries (</w:t>
      </w:r>
      <w:r w:rsidR="003736CE">
        <w:t xml:space="preserve">for </w:t>
      </w:r>
      <w:r>
        <w:t>prostate, lung and colorectal</w:t>
      </w:r>
      <w:r w:rsidR="003736CE">
        <w:t xml:space="preserve"> cancers</w:t>
      </w:r>
      <w:r>
        <w:t xml:space="preserve">) in April 2020 compared to April 2019. The decrease in surgery was less for Māori than for non-Māori/non-Pacific in the month of April (25% decrease for Māori compared to 33% decrease for non-Māori/non-Pacific). </w:t>
      </w:r>
    </w:p>
    <w:p w14:paraId="68F8D214" w14:textId="43504D10" w:rsidR="003861BB" w:rsidRPr="003861BB" w:rsidRDefault="009229D7" w:rsidP="003861BB">
      <w:pPr>
        <w:pStyle w:val="ListParagraph"/>
        <w:numPr>
          <w:ilvl w:val="0"/>
          <w:numId w:val="40"/>
        </w:numPr>
        <w:rPr>
          <w:rFonts w:asciiTheme="majorHAnsi" w:eastAsiaTheme="majorEastAsia" w:hAnsiTheme="majorHAnsi" w:cstheme="majorBidi"/>
          <w:sz w:val="26"/>
          <w:szCs w:val="26"/>
        </w:rPr>
      </w:pPr>
      <w:r>
        <w:t xml:space="preserve">The decrease in </w:t>
      </w:r>
      <w:r w:rsidR="003736CE">
        <w:t xml:space="preserve">curative </w:t>
      </w:r>
      <w:r>
        <w:t xml:space="preserve">surgery </w:t>
      </w:r>
      <w:r w:rsidR="003736CE">
        <w:t>appears to be largely driven by the decrease in diagnostic</w:t>
      </w:r>
      <w:r w:rsidR="00152004">
        <w:t xml:space="preserve"> services</w:t>
      </w:r>
      <w:r w:rsidR="003736CE">
        <w:t>.</w:t>
      </w:r>
      <w:r w:rsidR="00DD3DC2">
        <w:t xml:space="preserve"> </w:t>
      </w:r>
    </w:p>
    <w:p w14:paraId="4D17B280" w14:textId="34978E7F" w:rsidR="003861BB" w:rsidRPr="003861BB" w:rsidRDefault="003861BB" w:rsidP="003861BB">
      <w:pPr>
        <w:pStyle w:val="ListParagraph"/>
        <w:numPr>
          <w:ilvl w:val="0"/>
          <w:numId w:val="40"/>
        </w:numPr>
        <w:rPr>
          <w:rFonts w:asciiTheme="majorHAnsi" w:eastAsiaTheme="majorEastAsia" w:hAnsiTheme="majorHAnsi" w:cstheme="majorBidi"/>
          <w:sz w:val="26"/>
          <w:szCs w:val="26"/>
        </w:rPr>
      </w:pPr>
      <w:r w:rsidRPr="00023AB2">
        <w:t xml:space="preserve">There </w:t>
      </w:r>
      <w:r>
        <w:t xml:space="preserve">has been a large decrease </w:t>
      </w:r>
      <w:r w:rsidRPr="00023AB2">
        <w:t xml:space="preserve">in curative </w:t>
      </w:r>
      <w:r>
        <w:t xml:space="preserve">lung cancer </w:t>
      </w:r>
      <w:r w:rsidRPr="00023AB2">
        <w:t>surger</w:t>
      </w:r>
      <w:r>
        <w:t xml:space="preserve">y </w:t>
      </w:r>
      <w:r w:rsidRPr="00023AB2">
        <w:t>for Māori</w:t>
      </w:r>
      <w:r>
        <w:t xml:space="preserve"> in 2020 compared to 2019. </w:t>
      </w:r>
      <w:r w:rsidRPr="00023AB2">
        <w:t>The decrease in lung cancer surger</w:t>
      </w:r>
      <w:r>
        <w:t>y</w:t>
      </w:r>
      <w:r w:rsidRPr="00023AB2">
        <w:t xml:space="preserve"> follows the pattern seen for bronchoscopies, with the decrease starting prior to lockdown. </w:t>
      </w:r>
    </w:p>
    <w:p w14:paraId="2A72D3CF" w14:textId="2A5837A1" w:rsidR="009229D7" w:rsidRDefault="003736CE" w:rsidP="009229D7">
      <w:pPr>
        <w:pStyle w:val="Heading3"/>
      </w:pPr>
      <w:r>
        <w:t>Chemotherapy and radiotherapy</w:t>
      </w:r>
    </w:p>
    <w:p w14:paraId="5D6D26B8" w14:textId="1B7D41B4" w:rsidR="009229D7" w:rsidRDefault="009229D7" w:rsidP="009229D7">
      <w:pPr>
        <w:pStyle w:val="ListParagraph"/>
        <w:numPr>
          <w:ilvl w:val="0"/>
          <w:numId w:val="30"/>
        </w:numPr>
      </w:pPr>
      <w:r>
        <w:t>Attendances for intra-venous chemotherapy remained largely stable over the lock down period. There was a</w:t>
      </w:r>
      <w:r w:rsidR="00A41994">
        <w:t xml:space="preserve"> small (</w:t>
      </w:r>
      <w:r>
        <w:t>3%</w:t>
      </w:r>
      <w:r w:rsidR="00A41994">
        <w:t>)</w:t>
      </w:r>
      <w:r>
        <w:t xml:space="preserve"> decrease in attendances in April 2020 compared to April 2019. This likely reflects </w:t>
      </w:r>
      <w:r w:rsidR="00487615">
        <w:t>the</w:t>
      </w:r>
      <w:r w:rsidR="00A41994">
        <w:t xml:space="preserve"> implementation of </w:t>
      </w:r>
      <w:r>
        <w:t xml:space="preserve">nationally agreed upon </w:t>
      </w:r>
      <w:r w:rsidR="003861BB">
        <w:t>guidance</w:t>
      </w:r>
      <w:r>
        <w:t xml:space="preserve">, which aimed to preserve day unit capacity and minimise spread of COVID-19. This included consideration of switching from IV therapy to </w:t>
      </w:r>
      <w:r w:rsidR="009005D6">
        <w:t xml:space="preserve">a comparable </w:t>
      </w:r>
      <w:r>
        <w:t xml:space="preserve">oral therapy </w:t>
      </w:r>
      <w:r w:rsidR="009005D6">
        <w:t xml:space="preserve">if possible </w:t>
      </w:r>
      <w:r>
        <w:t>and selection of comparable therapies that require</w:t>
      </w:r>
      <w:r w:rsidR="00A41994">
        <w:t xml:space="preserve"> </w:t>
      </w:r>
      <w:r>
        <w:t xml:space="preserve">less frequent attendances to hospital. </w:t>
      </w:r>
    </w:p>
    <w:p w14:paraId="3748B857" w14:textId="38B7A2F6" w:rsidR="00DD3DC2" w:rsidRDefault="00DD3DC2" w:rsidP="00AB3739">
      <w:pPr>
        <w:pStyle w:val="ListParagraph"/>
        <w:numPr>
          <w:ilvl w:val="0"/>
          <w:numId w:val="30"/>
        </w:numPr>
      </w:pPr>
      <w:r>
        <w:t xml:space="preserve">There was a decrease in haematology first specialist appointments during April 2020. This aligns with the decrease in haematology cancer registrations </w:t>
      </w:r>
      <w:r w:rsidR="00655398">
        <w:t xml:space="preserve">and </w:t>
      </w:r>
      <w:r>
        <w:t>may also reflect a decrease in FSAs for non-malignant, non-urgent indications, deferred as part of the hospital response framework. Despite the decrease in FSAs and diagnoses, attendance for IV chemo</w:t>
      </w:r>
      <w:r w:rsidR="00152004">
        <w:t>therapy</w:t>
      </w:r>
      <w:r>
        <w:t xml:space="preserve"> for haematological malignancies remained stable during the lockdown.  </w:t>
      </w:r>
    </w:p>
    <w:p w14:paraId="06C4CAC6" w14:textId="77F38896" w:rsidR="00655398" w:rsidRDefault="00DD3DC2" w:rsidP="00655398">
      <w:pPr>
        <w:pStyle w:val="ListParagraph"/>
        <w:numPr>
          <w:ilvl w:val="0"/>
          <w:numId w:val="6"/>
        </w:numPr>
      </w:pPr>
      <w:r>
        <w:t>Attendance for radiation oncology first specialist assessment remained stable during lockdown.</w:t>
      </w:r>
      <w:r w:rsidR="00655398">
        <w:t xml:space="preserve"> </w:t>
      </w:r>
      <w:r>
        <w:t xml:space="preserve">There was an overall reduction in attendances for radiotherapy during April 2020 compared to April 2019. </w:t>
      </w:r>
      <w:r w:rsidR="00655398">
        <w:t xml:space="preserve">This </w:t>
      </w:r>
      <w:r w:rsidR="009005D6">
        <w:t>likely</w:t>
      </w:r>
      <w:r w:rsidR="00655398">
        <w:t xml:space="preserve"> reflect</w:t>
      </w:r>
      <w:r w:rsidR="009005D6">
        <w:t>s</w:t>
      </w:r>
      <w:r w:rsidR="00655398">
        <w:t xml:space="preserve"> implementation of the nationally agreed upon guidance to hypo-</w:t>
      </w:r>
      <w:r w:rsidR="00AC246C">
        <w:t>fractionate during</w:t>
      </w:r>
      <w:r w:rsidR="00655398">
        <w:t xml:space="preserve"> the lockdown to minimise the risk of COVID-19 spread</w:t>
      </w:r>
      <w:r w:rsidR="003861BB">
        <w:t xml:space="preserve"> and to consider lower contact treatment option</w:t>
      </w:r>
      <w:r w:rsidR="00152004">
        <w:t>s</w:t>
      </w:r>
      <w:r w:rsidR="003861BB">
        <w:t>, such as hormone therapy for prostate cancer.</w:t>
      </w:r>
    </w:p>
    <w:p w14:paraId="273F84AE" w14:textId="24E36493" w:rsidR="00DD3DC2" w:rsidRDefault="00DD3DC2" w:rsidP="00AB3739">
      <w:pPr>
        <w:pStyle w:val="ListParagraph"/>
        <w:numPr>
          <w:ilvl w:val="0"/>
          <w:numId w:val="30"/>
        </w:numPr>
      </w:pPr>
      <w:r>
        <w:t xml:space="preserve">There was a larger decrease in radiation oncology attendances for Māori compared to non-Māori during the lockdown, which is different from the pattern seen for chemotherapy. This may reflect the regional nature of radiotherapy services and greater requirement to travel for treatment. There were disruptions to transport and accommodation options during the lockdown, which may have disproportionately impacted on Māori. </w:t>
      </w:r>
    </w:p>
    <w:p w14:paraId="429612C6" w14:textId="77777777" w:rsidR="00CA5926" w:rsidRPr="00E7798C" w:rsidRDefault="00CA5926" w:rsidP="00CA5926"/>
    <w:p w14:paraId="5D897DA9" w14:textId="22AD8AF3" w:rsidR="00DD3DC2" w:rsidRDefault="00DD3DC2" w:rsidP="00DD3DC2"/>
    <w:p w14:paraId="76B851BC" w14:textId="77777777" w:rsidR="00DD3DC2" w:rsidRDefault="00DD3DC2" w:rsidP="00DD3DC2"/>
    <w:p w14:paraId="3C370223" w14:textId="77777777" w:rsidR="00DD3DC2" w:rsidRPr="00E7798C" w:rsidRDefault="00DD3DC2" w:rsidP="00DD3DC2"/>
    <w:p w14:paraId="05C7CF6C" w14:textId="77777777" w:rsidR="009229D7" w:rsidRPr="009229D7" w:rsidRDefault="009229D7" w:rsidP="009229D7"/>
    <w:p w14:paraId="0164BE41" w14:textId="77777777" w:rsidR="009229D7" w:rsidRPr="009229D7" w:rsidRDefault="009229D7" w:rsidP="009229D7"/>
    <w:p w14:paraId="002166AE" w14:textId="77777777" w:rsidR="00AF0C17" w:rsidRPr="00AF0C17" w:rsidRDefault="00AF0C17" w:rsidP="00AF0C17"/>
    <w:p w14:paraId="0BDE09ED" w14:textId="77777777" w:rsidR="00976DFA" w:rsidRDefault="00976DFA">
      <w:pPr>
        <w:rPr>
          <w:rFonts w:ascii="Segoe UI" w:eastAsiaTheme="majorEastAsia" w:hAnsi="Segoe UI" w:cstheme="majorBidi"/>
          <w:b/>
          <w:sz w:val="48"/>
          <w:szCs w:val="32"/>
        </w:rPr>
      </w:pPr>
      <w:r>
        <w:br w:type="page"/>
      </w:r>
    </w:p>
    <w:p w14:paraId="66FB2E05" w14:textId="29E50F44" w:rsidR="008529AC" w:rsidRDefault="00F1598E" w:rsidP="00AF7CFF">
      <w:pPr>
        <w:pStyle w:val="Heading1"/>
        <w:spacing w:after="240"/>
      </w:pPr>
      <w:bookmarkStart w:id="4" w:name="_Toc41474438"/>
      <w:r>
        <w:lastRenderedPageBreak/>
        <w:t>Introduction</w:t>
      </w:r>
      <w:bookmarkEnd w:id="4"/>
    </w:p>
    <w:p w14:paraId="0D5E6C66" w14:textId="379DBCF4" w:rsidR="00F1598E" w:rsidRDefault="00F1598E" w:rsidP="00F1598E">
      <w:pPr>
        <w:pStyle w:val="Heading2"/>
      </w:pPr>
      <w:r>
        <w:t>Background</w:t>
      </w:r>
    </w:p>
    <w:p w14:paraId="17296DAA" w14:textId="6AAAA89F" w:rsidR="00BF6FF9" w:rsidRDefault="00BF6FF9" w:rsidP="00C92FA5">
      <w:pPr>
        <w:spacing w:before="120"/>
      </w:pPr>
      <w:r>
        <w:t xml:space="preserve">New Zealand has, so far, fared </w:t>
      </w:r>
      <w:r w:rsidR="009200E5">
        <w:t xml:space="preserve">comparably </w:t>
      </w:r>
      <w:r>
        <w:t xml:space="preserve">well against COVID-19. Early border closures and the pursuance of a COVID-19 elimination strategy prevented our health system from being overrun. This </w:t>
      </w:r>
      <w:r w:rsidR="00FD7797">
        <w:t xml:space="preserve">protected </w:t>
      </w:r>
      <w:r w:rsidR="006C78E7">
        <w:t>people</w:t>
      </w:r>
      <w:r w:rsidR="00FD7797">
        <w:t xml:space="preserve"> with cancer</w:t>
      </w:r>
      <w:r>
        <w:t xml:space="preserve">, enabling </w:t>
      </w:r>
      <w:r w:rsidR="0076192F">
        <w:t>hospital</w:t>
      </w:r>
      <w:r w:rsidR="00AF0C17">
        <w:t xml:space="preserve"> </w:t>
      </w:r>
      <w:r w:rsidR="00AF7CFF">
        <w:t>services to continue</w:t>
      </w:r>
      <w:r>
        <w:t xml:space="preserve"> and protecting those who are immunocompromised from the spread of COVID-19.</w:t>
      </w:r>
    </w:p>
    <w:p w14:paraId="2C2F1F23" w14:textId="5310E9E2" w:rsidR="00152004" w:rsidRDefault="00152004" w:rsidP="00C92FA5">
      <w:pPr>
        <w:spacing w:before="120"/>
      </w:pPr>
      <w:r>
        <w:t>During the COVID-19 pandemic the Cancer Control Agency worked close</w:t>
      </w:r>
      <w:r w:rsidR="00727A72">
        <w:t>ly with cancer clinicians</w:t>
      </w:r>
      <w:r w:rsidR="009200E5" w:rsidRPr="009200E5">
        <w:t xml:space="preserve"> </w:t>
      </w:r>
      <w:r w:rsidR="009200E5">
        <w:t>across the country</w:t>
      </w:r>
      <w:r w:rsidR="00D81558">
        <w:t>,</w:t>
      </w:r>
      <w:r w:rsidR="00727A72">
        <w:t xml:space="preserve"> working groups </w:t>
      </w:r>
      <w:r w:rsidR="00A12DC9">
        <w:t xml:space="preserve">and Hei </w:t>
      </w:r>
      <w:r w:rsidR="009200E5">
        <w:t>Ā</w:t>
      </w:r>
      <w:r w:rsidR="00A12DC9">
        <w:t xml:space="preserve">huru Mōwai </w:t>
      </w:r>
      <w:r w:rsidR="00727A72">
        <w:t xml:space="preserve">to support the ongoing delivery of treatment services. This included identifying and addressing barriers to the provision of services during the lockdown. </w:t>
      </w:r>
    </w:p>
    <w:p w14:paraId="7B7ACD80" w14:textId="26D778B7" w:rsidR="00FA13AC" w:rsidRDefault="008529AC" w:rsidP="00C92FA5">
      <w:r>
        <w:t xml:space="preserve">However, we don’t fully understand the </w:t>
      </w:r>
      <w:r w:rsidR="00BF6FF9">
        <w:t xml:space="preserve">impact of the national lockdown on the cancer care pathway, including </w:t>
      </w:r>
      <w:r w:rsidR="0081753C">
        <w:t xml:space="preserve">cancer prevention, </w:t>
      </w:r>
      <w:r w:rsidR="00BF6FF9">
        <w:t>access to primary care, diagnostic</w:t>
      </w:r>
      <w:r w:rsidR="0081753C">
        <w:t xml:space="preserve">s </w:t>
      </w:r>
      <w:r w:rsidR="00BF6FF9">
        <w:t xml:space="preserve">and treatment services. </w:t>
      </w:r>
      <w:r w:rsidR="003861BB">
        <w:t xml:space="preserve">The sudden unplanned disruption in usual care will inevitably lead to a backlog of unmet need. </w:t>
      </w:r>
      <w:r w:rsidR="00727A72">
        <w:t>Any disruption</w:t>
      </w:r>
      <w:r>
        <w:t xml:space="preserve"> will have an impact on cancer patients in </w:t>
      </w:r>
      <w:r w:rsidR="00964135">
        <w:t>general and</w:t>
      </w:r>
      <w:r>
        <w:t xml:space="preserve"> </w:t>
      </w:r>
      <w:r w:rsidR="0081753C">
        <w:t xml:space="preserve">may have a </w:t>
      </w:r>
      <w:r>
        <w:t xml:space="preserve">disproportionate impact on those </w:t>
      </w:r>
      <w:r w:rsidR="002721AD">
        <w:t>who</w:t>
      </w:r>
      <w:r>
        <w:t xml:space="preserve"> </w:t>
      </w:r>
      <w:r w:rsidR="00D25909">
        <w:t>already experience greater</w:t>
      </w:r>
      <w:r>
        <w:t xml:space="preserve"> barriers to accessing care, particularly Māori and Pacific </w:t>
      </w:r>
      <w:r w:rsidR="0081753C">
        <w:t>peoples</w:t>
      </w:r>
      <w:r>
        <w:t>.</w:t>
      </w:r>
    </w:p>
    <w:p w14:paraId="4BA17533" w14:textId="21F8CD0D" w:rsidR="008529AC" w:rsidRDefault="00AF7CFF" w:rsidP="00C92FA5">
      <w:r>
        <w:t xml:space="preserve">Understanding exactly what has happened to </w:t>
      </w:r>
      <w:r w:rsidR="00981B50">
        <w:t>cancer care</w:t>
      </w:r>
      <w:r>
        <w:t xml:space="preserve"> during the lockdown will help with planning for the recovery phase of the pandemic. </w:t>
      </w:r>
    </w:p>
    <w:p w14:paraId="78A0D2B2" w14:textId="2C4F6BB4" w:rsidR="00981B50" w:rsidRDefault="001676A9" w:rsidP="00F1598E">
      <w:pPr>
        <w:pStyle w:val="Heading2"/>
      </w:pPr>
      <w:r>
        <w:t>Purpose of this report</w:t>
      </w:r>
    </w:p>
    <w:p w14:paraId="1B125DAA" w14:textId="144AF2F6" w:rsidR="00871D83" w:rsidRDefault="00871D83" w:rsidP="00871D83">
      <w:r>
        <w:t xml:space="preserve">This report aims to rapidly collate evidence on the magnitude of delays to </w:t>
      </w:r>
      <w:r w:rsidR="00414275">
        <w:t xml:space="preserve">cancer </w:t>
      </w:r>
      <w:r>
        <w:t xml:space="preserve">diagnosis and treatment, and the extent to which this </w:t>
      </w:r>
      <w:r w:rsidR="002721AD">
        <w:t xml:space="preserve">has </w:t>
      </w:r>
      <w:r w:rsidR="00FA13AC">
        <w:t>create</w:t>
      </w:r>
      <w:r w:rsidR="002721AD">
        <w:t>d</w:t>
      </w:r>
      <w:r w:rsidR="00FA13AC">
        <w:t xml:space="preserve"> </w:t>
      </w:r>
      <w:r>
        <w:t>or exacerbat</w:t>
      </w:r>
      <w:r w:rsidR="00FA13AC">
        <w:t>e</w:t>
      </w:r>
      <w:r w:rsidR="002721AD">
        <w:t>d</w:t>
      </w:r>
      <w:r w:rsidR="00FA13AC">
        <w:t xml:space="preserve"> </w:t>
      </w:r>
      <w:r>
        <w:t xml:space="preserve">inequities. As well as helping with recovery planning, this will provide evidence that will support informed decision-making in relation to the relative benefits and harms of future policy decisions.  </w:t>
      </w:r>
    </w:p>
    <w:p w14:paraId="3205427E" w14:textId="1D1674AF" w:rsidR="001676A9" w:rsidRPr="001676A9" w:rsidRDefault="00FA13AC" w:rsidP="00FA13AC">
      <w:pPr>
        <w:pStyle w:val="Heading2"/>
      </w:pPr>
      <w:r>
        <w:t>Data and analysis</w:t>
      </w:r>
    </w:p>
    <w:p w14:paraId="4A063DC3" w14:textId="24825F9C" w:rsidR="00F1598E" w:rsidRDefault="00F1598E" w:rsidP="00F1598E">
      <w:r>
        <w:t xml:space="preserve">The data in </w:t>
      </w:r>
      <w:r w:rsidR="001676A9">
        <w:t xml:space="preserve">this report comes from Ministry of Health national data collections. </w:t>
      </w:r>
      <w:r w:rsidR="00FA13AC">
        <w:t>Each section</w:t>
      </w:r>
      <w:r w:rsidR="002721AD">
        <w:t xml:space="preserve"> of the report includes i</w:t>
      </w:r>
      <w:r w:rsidR="00FA13AC">
        <w:t xml:space="preserve">nformation on where </w:t>
      </w:r>
      <w:r w:rsidR="001676A9">
        <w:t xml:space="preserve">the data is from and any limitations </w:t>
      </w:r>
      <w:r w:rsidR="002721AD">
        <w:t>with the data</w:t>
      </w:r>
      <w:r w:rsidR="001676A9">
        <w:t xml:space="preserve">. </w:t>
      </w:r>
    </w:p>
    <w:p w14:paraId="7CE42394" w14:textId="774E0E67" w:rsidR="00981B50" w:rsidRDefault="001676A9" w:rsidP="001676A9">
      <w:r>
        <w:t>It is important to note that t</w:t>
      </w:r>
      <w:r w:rsidR="00981B50" w:rsidRPr="00BA763E">
        <w:t xml:space="preserve">he purpose of </w:t>
      </w:r>
      <w:r w:rsidR="002721AD">
        <w:t xml:space="preserve">the </w:t>
      </w:r>
      <w:r w:rsidR="00981B50" w:rsidRPr="00BA763E">
        <w:t>analysis was to rapidly measure the impact of COVID-19 and the lockdown on cancer services</w:t>
      </w:r>
      <w:r w:rsidR="003A2CC6" w:rsidRPr="003A2CC6">
        <w:t xml:space="preserve"> </w:t>
      </w:r>
      <w:r w:rsidR="003A2CC6">
        <w:t>and</w:t>
      </w:r>
      <w:r w:rsidR="003A2CC6" w:rsidRPr="00AB0320">
        <w:t xml:space="preserve"> does not </w:t>
      </w:r>
      <w:proofErr w:type="gramStart"/>
      <w:r w:rsidR="003A2CC6" w:rsidRPr="00AB0320">
        <w:t>take into account</w:t>
      </w:r>
      <w:proofErr w:type="gramEnd"/>
      <w:r w:rsidR="003A2CC6" w:rsidRPr="00AB0320">
        <w:t xml:space="preserve"> pre-existing unmet need</w:t>
      </w:r>
      <w:r w:rsidR="003A2CC6">
        <w:t>.</w:t>
      </w:r>
      <w:r>
        <w:t xml:space="preserve"> </w:t>
      </w:r>
      <w:r w:rsidR="002721AD">
        <w:t>The report also makes direct c</w:t>
      </w:r>
      <w:r w:rsidR="00981B50" w:rsidRPr="00AB0320">
        <w:t>omparisons between 2020 and 2019</w:t>
      </w:r>
      <w:r w:rsidR="002721AD">
        <w:t xml:space="preserve"> and does </w:t>
      </w:r>
      <w:r w:rsidR="00981B50" w:rsidRPr="00AB0320">
        <w:t>not consider any projected increase in diagnoses over time.</w:t>
      </w:r>
    </w:p>
    <w:p w14:paraId="4ACBA230" w14:textId="4250C551" w:rsidR="00981B50" w:rsidRDefault="00981B50" w:rsidP="002721AD">
      <w:r>
        <w:t>This is a working report</w:t>
      </w:r>
      <w:r w:rsidR="002721AD">
        <w:t xml:space="preserve">, developed rapidly to </w:t>
      </w:r>
      <w:r>
        <w:t>assist with recovery planning. Further analysis will be completed as more data becomes available</w:t>
      </w:r>
      <w:r w:rsidR="009200E5">
        <w:t>.</w:t>
      </w:r>
      <w:r w:rsidR="00652E60">
        <w:t xml:space="preserve"> </w:t>
      </w:r>
    </w:p>
    <w:p w14:paraId="1EB66A0E" w14:textId="77777777" w:rsidR="002721AD" w:rsidRDefault="00FA13AC" w:rsidP="002721AD">
      <w:pPr>
        <w:pStyle w:val="Heading2"/>
      </w:pPr>
      <w:r>
        <w:t xml:space="preserve">Key dates </w:t>
      </w:r>
    </w:p>
    <w:p w14:paraId="30417265" w14:textId="4E049D3E" w:rsidR="00FA13AC" w:rsidRDefault="002721AD" w:rsidP="00FA13AC">
      <w:r>
        <w:t xml:space="preserve">This report focuses on the lockdown period. Key dates </w:t>
      </w:r>
      <w:r w:rsidR="00FA13AC">
        <w:t xml:space="preserve">over </w:t>
      </w:r>
      <w:r>
        <w:t xml:space="preserve">this time </w:t>
      </w:r>
      <w:r w:rsidR="00FA13AC">
        <w:t>include:</w:t>
      </w:r>
    </w:p>
    <w:p w14:paraId="59CE5688" w14:textId="77777777" w:rsidR="00FA13AC" w:rsidRDefault="00FA13AC" w:rsidP="00FA13AC">
      <w:pPr>
        <w:pStyle w:val="ListParagraph"/>
        <w:numPr>
          <w:ilvl w:val="0"/>
          <w:numId w:val="45"/>
        </w:numPr>
      </w:pPr>
      <w:r>
        <w:t>22</w:t>
      </w:r>
      <w:r w:rsidRPr="00CD578E">
        <w:rPr>
          <w:vertAlign w:val="superscript"/>
        </w:rPr>
        <w:t>nd</w:t>
      </w:r>
      <w:r>
        <w:t xml:space="preserve"> March, alert level 3 and hospital alert level framework released</w:t>
      </w:r>
    </w:p>
    <w:p w14:paraId="5BDA8CB0" w14:textId="50BCA820" w:rsidR="00FA13AC" w:rsidRDefault="00FA13AC" w:rsidP="00FA13AC">
      <w:pPr>
        <w:pStyle w:val="ListParagraph"/>
        <w:numPr>
          <w:ilvl w:val="0"/>
          <w:numId w:val="45"/>
        </w:numPr>
      </w:pPr>
      <w:r>
        <w:t>26</w:t>
      </w:r>
      <w:r w:rsidRPr="00CD578E">
        <w:rPr>
          <w:vertAlign w:val="superscript"/>
        </w:rPr>
        <w:t>th</w:t>
      </w:r>
      <w:r>
        <w:t xml:space="preserve"> March, alert level 4</w:t>
      </w:r>
      <w:r w:rsidR="003861BB">
        <w:t>,</w:t>
      </w:r>
    </w:p>
    <w:p w14:paraId="6A542609" w14:textId="77777777" w:rsidR="00FA13AC" w:rsidRDefault="00FA13AC" w:rsidP="00FA13AC">
      <w:pPr>
        <w:pStyle w:val="ListParagraph"/>
        <w:numPr>
          <w:ilvl w:val="0"/>
          <w:numId w:val="45"/>
        </w:numPr>
      </w:pPr>
      <w:r>
        <w:t>28</w:t>
      </w:r>
      <w:r w:rsidRPr="00CD578E">
        <w:rPr>
          <w:vertAlign w:val="superscript"/>
        </w:rPr>
        <w:t>th</w:t>
      </w:r>
      <w:r>
        <w:t xml:space="preserve"> April, alert level 3</w:t>
      </w:r>
    </w:p>
    <w:p w14:paraId="3E74F998" w14:textId="1CF2E760" w:rsidR="00395B99" w:rsidRDefault="00FA13AC" w:rsidP="002721AD">
      <w:pPr>
        <w:pStyle w:val="ListParagraph"/>
        <w:numPr>
          <w:ilvl w:val="0"/>
          <w:numId w:val="45"/>
        </w:numPr>
      </w:pPr>
      <w:r>
        <w:t>14</w:t>
      </w:r>
      <w:r w:rsidRPr="002721AD">
        <w:rPr>
          <w:vertAlign w:val="superscript"/>
        </w:rPr>
        <w:t>th</w:t>
      </w:r>
      <w:r>
        <w:t xml:space="preserve"> May, alert level 2</w:t>
      </w:r>
    </w:p>
    <w:p w14:paraId="7F9CD81F" w14:textId="60227EC7" w:rsidR="004A210E" w:rsidRDefault="00976DFA" w:rsidP="00C261D3">
      <w:pPr>
        <w:pStyle w:val="Heading1"/>
      </w:pPr>
      <w:bookmarkStart w:id="5" w:name="_Toc41410742"/>
      <w:bookmarkStart w:id="6" w:name="_Toc41474439"/>
      <w:r>
        <w:lastRenderedPageBreak/>
        <w:t xml:space="preserve">Cancer </w:t>
      </w:r>
      <w:r w:rsidR="00F62620">
        <w:t>Registrations</w:t>
      </w:r>
      <w:bookmarkEnd w:id="5"/>
      <w:bookmarkEnd w:id="6"/>
    </w:p>
    <w:p w14:paraId="3F1C1C7E" w14:textId="77777777" w:rsidR="00105D77" w:rsidRDefault="00F62620" w:rsidP="00105D77">
      <w:pPr>
        <w:pStyle w:val="Heading2"/>
      </w:pPr>
      <w:r>
        <w:t>Notes on data</w:t>
      </w:r>
    </w:p>
    <w:p w14:paraId="347DD1BC" w14:textId="1342EFB1" w:rsidR="00F62620" w:rsidRDefault="00F62620" w:rsidP="008529AC">
      <w:pPr>
        <w:pStyle w:val="ListParagraph"/>
        <w:numPr>
          <w:ilvl w:val="0"/>
          <w:numId w:val="19"/>
        </w:numPr>
      </w:pPr>
      <w:r>
        <w:t xml:space="preserve">The data come from pathology reports </w:t>
      </w:r>
      <w:r w:rsidR="008529AC">
        <w:t>from the New Zealand Cancer Register</w:t>
      </w:r>
      <w:r w:rsidR="00AF7CFF">
        <w:t xml:space="preserve"> (NZCR).</w:t>
      </w:r>
      <w:r w:rsidR="002E399D">
        <w:t xml:space="preserve"> This means that cancer</w:t>
      </w:r>
      <w:r w:rsidR="00A8203F">
        <w:t>s diagnosed without pathology (e.g. radiology alone) will not be counted</w:t>
      </w:r>
      <w:r w:rsidR="008678C6">
        <w:t xml:space="preserve"> in this analysis</w:t>
      </w:r>
      <w:r w:rsidR="00A8203F">
        <w:t xml:space="preserve">. </w:t>
      </w:r>
    </w:p>
    <w:p w14:paraId="30D81B07" w14:textId="0AB28165" w:rsidR="003A2CC6" w:rsidRDefault="008529AC" w:rsidP="003A2CC6">
      <w:pPr>
        <w:pStyle w:val="ListParagraph"/>
        <w:numPr>
          <w:ilvl w:val="0"/>
          <w:numId w:val="17"/>
        </w:numPr>
      </w:pPr>
      <w:r>
        <w:t>Due to a</w:t>
      </w:r>
      <w:r w:rsidR="00652E60">
        <w:t xml:space="preserve"> temporary </w:t>
      </w:r>
      <w:r>
        <w:t xml:space="preserve">issue with referrals </w:t>
      </w:r>
      <w:r w:rsidR="00614CDA">
        <w:t xml:space="preserve">through to NZCR, </w:t>
      </w:r>
      <w:r w:rsidR="003A2CC6">
        <w:t>Community Anatomic Pathology Service</w:t>
      </w:r>
      <w:r w:rsidR="008678C6">
        <w:t xml:space="preserve"> (CAPS</w:t>
      </w:r>
      <w:r w:rsidR="003A2CC6">
        <w:t>) data has been excluded from all analysis (</w:t>
      </w:r>
      <w:r w:rsidR="00A8203F">
        <w:t>this accounts for approximately</w:t>
      </w:r>
      <w:r w:rsidR="003A2CC6">
        <w:t xml:space="preserve"> 12% of data). This mostly affects the Auckland DHBs. CAPS are the main provider for private and GP laboratory work.</w:t>
      </w:r>
    </w:p>
    <w:p w14:paraId="0B66AD2F" w14:textId="221D1ADC" w:rsidR="003A2CC6" w:rsidRDefault="003A2CC6" w:rsidP="00350F72">
      <w:pPr>
        <w:pStyle w:val="ListParagraph"/>
        <w:numPr>
          <w:ilvl w:val="0"/>
          <w:numId w:val="17"/>
        </w:numPr>
      </w:pPr>
      <w:r>
        <w:t xml:space="preserve">‘Date’ is date of diagnosis on the NZCR – usually the date the specimen was taken from the person and sent to the laboratory. </w:t>
      </w:r>
      <w:r w:rsidR="00964135">
        <w:t>A</w:t>
      </w:r>
      <w:r w:rsidR="008529AC">
        <w:t>nalyses include all new provisional and registered cancer events based on pathology and haematology reports.</w:t>
      </w:r>
      <w:r w:rsidR="007F1C79">
        <w:t xml:space="preserve"> </w:t>
      </w:r>
      <w:r w:rsidR="00B56335">
        <w:t xml:space="preserve">Data </w:t>
      </w:r>
      <w:r w:rsidR="00A12DC9">
        <w:t xml:space="preserve">were </w:t>
      </w:r>
      <w:r w:rsidR="00B56335">
        <w:t xml:space="preserve">extracted on 21 May 2020. </w:t>
      </w:r>
    </w:p>
    <w:p w14:paraId="3DE5162D" w14:textId="19BD9A29" w:rsidR="00614CDA" w:rsidRDefault="00614CDA" w:rsidP="008529AC">
      <w:pPr>
        <w:pStyle w:val="ListParagraph"/>
        <w:numPr>
          <w:ilvl w:val="0"/>
          <w:numId w:val="17"/>
        </w:numPr>
      </w:pPr>
      <w:r>
        <w:t xml:space="preserve">Further information on this data is included in </w:t>
      </w:r>
      <w:r w:rsidR="003D37F7">
        <w:t>Appendix 1.</w:t>
      </w:r>
    </w:p>
    <w:p w14:paraId="59E3E978" w14:textId="7BF603BB" w:rsidR="00105D77" w:rsidRDefault="00177A70" w:rsidP="00F62620">
      <w:pPr>
        <w:pStyle w:val="Heading2"/>
      </w:pPr>
      <w:r>
        <w:t>R</w:t>
      </w:r>
      <w:r w:rsidR="00F62620">
        <w:t>esults</w:t>
      </w:r>
    </w:p>
    <w:p w14:paraId="77146A9E" w14:textId="29E14E86" w:rsidR="0017074B" w:rsidRDefault="00066F13" w:rsidP="0017074B">
      <w:r>
        <w:fldChar w:fldCharType="begin"/>
      </w:r>
      <w:r>
        <w:instrText xml:space="preserve"> REF _Ref41410839 \h </w:instrText>
      </w:r>
      <w:r>
        <w:fldChar w:fldCharType="separate"/>
      </w:r>
      <w:r w:rsidR="00CC108E">
        <w:t xml:space="preserve">Table </w:t>
      </w:r>
      <w:r w:rsidR="00CC108E">
        <w:rPr>
          <w:noProof/>
        </w:rPr>
        <w:t>1</w:t>
      </w:r>
      <w:r>
        <w:fldChar w:fldCharType="end"/>
      </w:r>
      <w:r>
        <w:t xml:space="preserve"> and </w:t>
      </w:r>
      <w:r>
        <w:fldChar w:fldCharType="begin"/>
      </w:r>
      <w:r>
        <w:instrText xml:space="preserve"> REF _Ref41411223 \h </w:instrText>
      </w:r>
      <w:r>
        <w:fldChar w:fldCharType="separate"/>
      </w:r>
      <w:r w:rsidR="00CC108E">
        <w:t xml:space="preserve">Figure </w:t>
      </w:r>
      <w:r w:rsidR="00CC108E">
        <w:rPr>
          <w:noProof/>
        </w:rPr>
        <w:t>1</w:t>
      </w:r>
      <w:r>
        <w:fldChar w:fldCharType="end"/>
      </w:r>
      <w:r>
        <w:t xml:space="preserve"> </w:t>
      </w:r>
      <w:r w:rsidR="0017074B">
        <w:t xml:space="preserve">show the </w:t>
      </w:r>
      <w:r>
        <w:t xml:space="preserve">decrease in cancer registrations in 2020 compared to 2019 by month, and the cumulative impact this has had on cancer registrations for the </w:t>
      </w:r>
      <w:r w:rsidR="0017074B">
        <w:t>year to date (up until the end of April 2020).</w:t>
      </w:r>
      <w:r>
        <w:t xml:space="preserve"> A similar pattern is seen across all ethnicities (</w:t>
      </w:r>
      <w:r>
        <w:fldChar w:fldCharType="begin"/>
      </w:r>
      <w:r>
        <w:instrText xml:space="preserve"> REF _Ref41406351 \h </w:instrText>
      </w:r>
      <w:r>
        <w:fldChar w:fldCharType="separate"/>
      </w:r>
      <w:r w:rsidR="00CC108E">
        <w:t xml:space="preserve">Figure </w:t>
      </w:r>
      <w:r w:rsidR="00CC108E">
        <w:rPr>
          <w:noProof/>
        </w:rPr>
        <w:t>2</w:t>
      </w:r>
      <w:r>
        <w:fldChar w:fldCharType="end"/>
      </w:r>
      <w:r>
        <w:t xml:space="preserve"> and </w:t>
      </w:r>
      <w:r>
        <w:fldChar w:fldCharType="begin"/>
      </w:r>
      <w:r>
        <w:instrText xml:space="preserve"> REF _Ref41411205 \h </w:instrText>
      </w:r>
      <w:r>
        <w:fldChar w:fldCharType="separate"/>
      </w:r>
      <w:r w:rsidR="00CC108E">
        <w:t xml:space="preserve">Figure </w:t>
      </w:r>
      <w:r w:rsidR="00CC108E">
        <w:rPr>
          <w:noProof/>
        </w:rPr>
        <w:t>3</w:t>
      </w:r>
      <w:r>
        <w:fldChar w:fldCharType="end"/>
      </w:r>
      <w:r>
        <w:t xml:space="preserve">). </w:t>
      </w:r>
    </w:p>
    <w:p w14:paraId="34E6A029" w14:textId="67687BB4" w:rsidR="00455BF3" w:rsidRDefault="00455BF3" w:rsidP="00455BF3">
      <w:pPr>
        <w:pStyle w:val="Caption"/>
        <w:keepNext/>
      </w:pPr>
      <w:bookmarkStart w:id="7" w:name="_Ref41410839"/>
      <w:r>
        <w:t xml:space="preserve">Table </w:t>
      </w:r>
      <w:fldSimple w:instr=" SEQ Table \* ARABIC ">
        <w:r w:rsidR="00CC108E">
          <w:rPr>
            <w:noProof/>
          </w:rPr>
          <w:t>1</w:t>
        </w:r>
      </w:fldSimple>
      <w:bookmarkEnd w:id="7"/>
      <w:r>
        <w:t xml:space="preserve">: </w:t>
      </w:r>
      <w:r w:rsidR="00066F13">
        <w:t>Absolute n</w:t>
      </w:r>
      <w:r>
        <w:t>umber and p</w:t>
      </w:r>
      <w:r w:rsidRPr="004734A4">
        <w:t>ercentage change in</w:t>
      </w:r>
      <w:r w:rsidR="00066F13">
        <w:t xml:space="preserve"> cancer</w:t>
      </w:r>
      <w:r w:rsidRPr="004734A4">
        <w:t xml:space="preserve"> </w:t>
      </w:r>
      <w:r>
        <w:t>registrations in</w:t>
      </w:r>
      <w:r w:rsidRPr="004734A4">
        <w:t xml:space="preserve"> 2020 compared to 2019 by month, and cumulative year to date</w:t>
      </w:r>
    </w:p>
    <w:tbl>
      <w:tblPr>
        <w:tblW w:w="8667" w:type="dxa"/>
        <w:jc w:val="center"/>
        <w:tblLook w:val="04A0" w:firstRow="1" w:lastRow="0" w:firstColumn="1" w:lastColumn="0" w:noHBand="0" w:noVBand="1"/>
      </w:tblPr>
      <w:tblGrid>
        <w:gridCol w:w="2117"/>
        <w:gridCol w:w="1196"/>
        <w:gridCol w:w="950"/>
        <w:gridCol w:w="1136"/>
        <w:gridCol w:w="994"/>
        <w:gridCol w:w="1279"/>
        <w:gridCol w:w="995"/>
      </w:tblGrid>
      <w:tr w:rsidR="00E17C67" w:rsidRPr="00A1769A" w14:paraId="4A05F9BA" w14:textId="77777777" w:rsidTr="00400B80">
        <w:trPr>
          <w:cantSplit/>
          <w:trHeight w:val="187"/>
          <w:jc w:val="center"/>
        </w:trPr>
        <w:tc>
          <w:tcPr>
            <w:tcW w:w="2117" w:type="dxa"/>
            <w:vMerge w:val="restart"/>
            <w:tcBorders>
              <w:right w:val="single" w:sz="4" w:space="0" w:color="auto"/>
            </w:tcBorders>
            <w:shd w:val="clear" w:color="auto" w:fill="auto"/>
            <w:noWrap/>
            <w:vAlign w:val="bottom"/>
          </w:tcPr>
          <w:p w14:paraId="60FF6A77" w14:textId="77777777" w:rsidR="00E17C67" w:rsidRPr="00400B80" w:rsidRDefault="00E17C67" w:rsidP="00C86CBF">
            <w:pPr>
              <w:keepNext/>
              <w:keepLines/>
              <w:spacing w:after="0" w:line="240" w:lineRule="auto"/>
              <w:jc w:val="right"/>
              <w:rPr>
                <w:rFonts w:ascii="Calibri" w:eastAsia="Times New Roman" w:hAnsi="Calibri" w:cs="Times New Roman"/>
                <w:b/>
                <w:color w:val="000000"/>
                <w:sz w:val="18"/>
                <w:lang w:eastAsia="en-NZ"/>
              </w:rPr>
            </w:pPr>
          </w:p>
        </w:tc>
        <w:tc>
          <w:tcPr>
            <w:tcW w:w="2146" w:type="dxa"/>
            <w:gridSpan w:val="2"/>
            <w:tcBorders>
              <w:left w:val="single" w:sz="4" w:space="0" w:color="auto"/>
              <w:bottom w:val="single" w:sz="4" w:space="0" w:color="auto"/>
              <w:right w:val="single" w:sz="4" w:space="0" w:color="auto"/>
            </w:tcBorders>
            <w:shd w:val="clear" w:color="auto" w:fill="auto"/>
            <w:noWrap/>
            <w:vAlign w:val="bottom"/>
          </w:tcPr>
          <w:p w14:paraId="41A4460D" w14:textId="77777777" w:rsidR="00E17C67" w:rsidRPr="00350F72" w:rsidRDefault="00E17C67" w:rsidP="00C86CBF">
            <w:pPr>
              <w:keepNext/>
              <w:keepLines/>
              <w:spacing w:after="0" w:line="240" w:lineRule="auto"/>
              <w:jc w:val="center"/>
              <w:rPr>
                <w:rFonts w:ascii="Calibri" w:eastAsia="Times New Roman" w:hAnsi="Calibri" w:cs="Times New Roman"/>
                <w:b/>
                <w:color w:val="000000"/>
                <w:sz w:val="20"/>
                <w:lang w:eastAsia="en-NZ"/>
              </w:rPr>
            </w:pPr>
            <w:r w:rsidRPr="00350F72">
              <w:rPr>
                <w:rFonts w:ascii="Calibri" w:eastAsia="Times New Roman" w:hAnsi="Calibri" w:cs="Times New Roman"/>
                <w:b/>
                <w:color w:val="000000"/>
                <w:sz w:val="20"/>
                <w:lang w:eastAsia="en-NZ"/>
              </w:rPr>
              <w:t>March 2020</w:t>
            </w:r>
          </w:p>
        </w:tc>
        <w:tc>
          <w:tcPr>
            <w:tcW w:w="2130" w:type="dxa"/>
            <w:gridSpan w:val="2"/>
            <w:tcBorders>
              <w:left w:val="single" w:sz="4" w:space="0" w:color="auto"/>
              <w:bottom w:val="single" w:sz="4" w:space="0" w:color="auto"/>
              <w:right w:val="single" w:sz="18" w:space="0" w:color="auto"/>
            </w:tcBorders>
            <w:vAlign w:val="bottom"/>
          </w:tcPr>
          <w:p w14:paraId="56202D00" w14:textId="77777777" w:rsidR="00E17C67" w:rsidRPr="00350F72" w:rsidRDefault="00E17C67" w:rsidP="00C86CBF">
            <w:pPr>
              <w:keepNext/>
              <w:keepLines/>
              <w:spacing w:after="0" w:line="240" w:lineRule="auto"/>
              <w:jc w:val="center"/>
              <w:rPr>
                <w:rFonts w:ascii="Calibri" w:eastAsia="Times New Roman" w:hAnsi="Calibri" w:cs="Times New Roman"/>
                <w:b/>
                <w:color w:val="000000"/>
                <w:sz w:val="20"/>
                <w:lang w:eastAsia="en-NZ"/>
              </w:rPr>
            </w:pPr>
            <w:r w:rsidRPr="00350F72">
              <w:rPr>
                <w:rFonts w:ascii="Calibri" w:eastAsia="Times New Roman" w:hAnsi="Calibri" w:cs="Times New Roman"/>
                <w:b/>
                <w:color w:val="000000"/>
                <w:sz w:val="20"/>
                <w:lang w:eastAsia="en-NZ"/>
              </w:rPr>
              <w:t>April 2020</w:t>
            </w:r>
          </w:p>
        </w:tc>
        <w:tc>
          <w:tcPr>
            <w:tcW w:w="2274" w:type="dxa"/>
            <w:gridSpan w:val="2"/>
            <w:tcBorders>
              <w:left w:val="single" w:sz="18" w:space="0" w:color="auto"/>
              <w:bottom w:val="single" w:sz="4" w:space="0" w:color="auto"/>
            </w:tcBorders>
          </w:tcPr>
          <w:p w14:paraId="2B6B2F65" w14:textId="77777777" w:rsidR="00E17C67" w:rsidRPr="00350F72" w:rsidRDefault="00E17C67" w:rsidP="00C86CBF">
            <w:pPr>
              <w:keepNext/>
              <w:keepLines/>
              <w:spacing w:after="0" w:line="240" w:lineRule="auto"/>
              <w:jc w:val="center"/>
              <w:rPr>
                <w:rFonts w:ascii="Calibri" w:eastAsia="Times New Roman" w:hAnsi="Calibri" w:cs="Times New Roman"/>
                <w:b/>
                <w:color w:val="000000"/>
                <w:sz w:val="20"/>
                <w:lang w:eastAsia="en-NZ"/>
              </w:rPr>
            </w:pPr>
            <w:r w:rsidRPr="00350F72">
              <w:rPr>
                <w:rFonts w:ascii="Calibri" w:eastAsia="Times New Roman" w:hAnsi="Calibri" w:cs="Times New Roman"/>
                <w:b/>
                <w:color w:val="000000"/>
                <w:sz w:val="20"/>
                <w:lang w:eastAsia="en-NZ"/>
              </w:rPr>
              <w:t>Year to date</w:t>
            </w:r>
          </w:p>
        </w:tc>
      </w:tr>
      <w:tr w:rsidR="00E17C67" w:rsidRPr="00A1769A" w14:paraId="33EA7BAE" w14:textId="77777777" w:rsidTr="00400B80">
        <w:trPr>
          <w:cantSplit/>
          <w:trHeight w:val="55"/>
          <w:jc w:val="center"/>
        </w:trPr>
        <w:tc>
          <w:tcPr>
            <w:tcW w:w="2117" w:type="dxa"/>
            <w:vMerge/>
            <w:tcBorders>
              <w:bottom w:val="single" w:sz="4" w:space="0" w:color="auto"/>
              <w:right w:val="single" w:sz="4" w:space="0" w:color="auto"/>
            </w:tcBorders>
            <w:shd w:val="clear" w:color="auto" w:fill="auto"/>
            <w:noWrap/>
            <w:vAlign w:val="bottom"/>
          </w:tcPr>
          <w:p w14:paraId="624A2BB6" w14:textId="5EC13036" w:rsidR="00E17C67" w:rsidRPr="00400B80" w:rsidRDefault="00E17C67" w:rsidP="00C86CBF">
            <w:pPr>
              <w:keepNext/>
              <w:keepLines/>
              <w:spacing w:after="0" w:line="240" w:lineRule="auto"/>
              <w:jc w:val="right"/>
              <w:rPr>
                <w:rFonts w:ascii="Calibri" w:eastAsia="Times New Roman" w:hAnsi="Calibri" w:cs="Times New Roman"/>
                <w:b/>
                <w:color w:val="000000"/>
                <w:sz w:val="18"/>
                <w:lang w:eastAsia="en-NZ"/>
              </w:rPr>
            </w:pPr>
          </w:p>
        </w:tc>
        <w:tc>
          <w:tcPr>
            <w:tcW w:w="1196" w:type="dxa"/>
            <w:tcBorders>
              <w:left w:val="single" w:sz="4" w:space="0" w:color="auto"/>
              <w:bottom w:val="single" w:sz="4" w:space="0" w:color="auto"/>
              <w:right w:val="single" w:sz="4" w:space="0" w:color="auto"/>
            </w:tcBorders>
            <w:shd w:val="clear" w:color="auto" w:fill="auto"/>
            <w:noWrap/>
            <w:vAlign w:val="bottom"/>
          </w:tcPr>
          <w:p w14:paraId="527BC879" w14:textId="77777777" w:rsidR="00E17C67" w:rsidRPr="00350F72" w:rsidRDefault="00E17C67" w:rsidP="00CB5153">
            <w:pPr>
              <w:keepNext/>
              <w:keepLines/>
              <w:spacing w:after="0" w:line="240" w:lineRule="auto"/>
              <w:jc w:val="right"/>
              <w:rPr>
                <w:rFonts w:ascii="Calibri" w:eastAsia="Times New Roman" w:hAnsi="Calibri" w:cs="Times New Roman"/>
                <w:b/>
                <w:color w:val="000000"/>
                <w:sz w:val="20"/>
                <w:lang w:eastAsia="en-NZ"/>
              </w:rPr>
            </w:pPr>
            <w:r w:rsidRPr="00350F72">
              <w:rPr>
                <w:rFonts w:ascii="Calibri" w:eastAsia="Times New Roman" w:hAnsi="Calibri" w:cs="Times New Roman"/>
                <w:b/>
                <w:color w:val="000000"/>
                <w:sz w:val="20"/>
                <w:lang w:eastAsia="en-NZ"/>
              </w:rPr>
              <w:t>Number</w:t>
            </w:r>
          </w:p>
        </w:tc>
        <w:tc>
          <w:tcPr>
            <w:tcW w:w="949" w:type="dxa"/>
            <w:tcBorders>
              <w:left w:val="single" w:sz="4" w:space="0" w:color="auto"/>
              <w:bottom w:val="single" w:sz="4" w:space="0" w:color="auto"/>
              <w:right w:val="single" w:sz="4" w:space="0" w:color="auto"/>
            </w:tcBorders>
            <w:vAlign w:val="bottom"/>
          </w:tcPr>
          <w:p w14:paraId="71C69E40" w14:textId="77777777" w:rsidR="00E17C67" w:rsidRPr="00350F72" w:rsidRDefault="00E17C67" w:rsidP="00CB5153">
            <w:pPr>
              <w:keepNext/>
              <w:keepLines/>
              <w:spacing w:after="0" w:line="240" w:lineRule="auto"/>
              <w:rPr>
                <w:rFonts w:ascii="Calibri" w:eastAsia="Times New Roman" w:hAnsi="Calibri" w:cs="Times New Roman"/>
                <w:b/>
                <w:color w:val="000000"/>
                <w:sz w:val="20"/>
                <w:lang w:eastAsia="en-NZ"/>
              </w:rPr>
            </w:pPr>
            <w:r w:rsidRPr="00350F72">
              <w:rPr>
                <w:rFonts w:ascii="Calibri" w:eastAsia="Times New Roman" w:hAnsi="Calibri" w:cs="Times New Roman"/>
                <w:b/>
                <w:color w:val="000000"/>
                <w:sz w:val="20"/>
                <w:lang w:eastAsia="en-NZ"/>
              </w:rPr>
              <w:t xml:space="preserve">% </w:t>
            </w:r>
          </w:p>
        </w:tc>
        <w:tc>
          <w:tcPr>
            <w:tcW w:w="1136" w:type="dxa"/>
            <w:tcBorders>
              <w:left w:val="single" w:sz="4" w:space="0" w:color="auto"/>
              <w:bottom w:val="single" w:sz="4" w:space="0" w:color="auto"/>
              <w:right w:val="single" w:sz="4" w:space="0" w:color="auto"/>
            </w:tcBorders>
            <w:vAlign w:val="bottom"/>
          </w:tcPr>
          <w:p w14:paraId="6BB1E459" w14:textId="77777777" w:rsidR="00E17C67" w:rsidRPr="00350F72" w:rsidRDefault="00E17C67" w:rsidP="00C86CBF">
            <w:pPr>
              <w:keepNext/>
              <w:keepLines/>
              <w:spacing w:after="0" w:line="240" w:lineRule="auto"/>
              <w:jc w:val="right"/>
              <w:rPr>
                <w:rFonts w:ascii="Calibri" w:eastAsia="Times New Roman" w:hAnsi="Calibri" w:cs="Times New Roman"/>
                <w:b/>
                <w:color w:val="000000"/>
                <w:sz w:val="20"/>
                <w:lang w:eastAsia="en-NZ"/>
              </w:rPr>
            </w:pPr>
            <w:r w:rsidRPr="00350F72">
              <w:rPr>
                <w:rFonts w:ascii="Calibri" w:eastAsia="Times New Roman" w:hAnsi="Calibri" w:cs="Times New Roman"/>
                <w:b/>
                <w:color w:val="000000"/>
                <w:sz w:val="20"/>
                <w:lang w:eastAsia="en-NZ"/>
              </w:rPr>
              <w:t>Number</w:t>
            </w:r>
          </w:p>
        </w:tc>
        <w:tc>
          <w:tcPr>
            <w:tcW w:w="993" w:type="dxa"/>
            <w:tcBorders>
              <w:left w:val="single" w:sz="4" w:space="0" w:color="auto"/>
              <w:bottom w:val="single" w:sz="4" w:space="0" w:color="auto"/>
              <w:right w:val="single" w:sz="18" w:space="0" w:color="auto"/>
            </w:tcBorders>
            <w:shd w:val="clear" w:color="auto" w:fill="auto"/>
            <w:noWrap/>
            <w:vAlign w:val="bottom"/>
          </w:tcPr>
          <w:p w14:paraId="22922824" w14:textId="77777777" w:rsidR="00E17C67" w:rsidRPr="00350F72" w:rsidRDefault="00E17C67" w:rsidP="00CB5153">
            <w:pPr>
              <w:keepNext/>
              <w:keepLines/>
              <w:spacing w:after="0" w:line="240" w:lineRule="auto"/>
              <w:rPr>
                <w:rFonts w:ascii="Calibri" w:eastAsia="Times New Roman" w:hAnsi="Calibri" w:cs="Times New Roman"/>
                <w:b/>
                <w:color w:val="000000"/>
                <w:sz w:val="20"/>
                <w:lang w:eastAsia="en-NZ"/>
              </w:rPr>
            </w:pPr>
            <w:r w:rsidRPr="00350F72">
              <w:rPr>
                <w:rFonts w:ascii="Calibri" w:eastAsia="Times New Roman" w:hAnsi="Calibri" w:cs="Times New Roman"/>
                <w:b/>
                <w:color w:val="000000"/>
                <w:sz w:val="20"/>
                <w:lang w:eastAsia="en-NZ"/>
              </w:rPr>
              <w:t xml:space="preserve">% </w:t>
            </w:r>
          </w:p>
        </w:tc>
        <w:tc>
          <w:tcPr>
            <w:tcW w:w="1279" w:type="dxa"/>
            <w:tcBorders>
              <w:left w:val="single" w:sz="18" w:space="0" w:color="auto"/>
              <w:bottom w:val="single" w:sz="4" w:space="0" w:color="auto"/>
              <w:right w:val="single" w:sz="4" w:space="0" w:color="auto"/>
            </w:tcBorders>
          </w:tcPr>
          <w:p w14:paraId="5C1A9FA7" w14:textId="77777777" w:rsidR="00E17C67" w:rsidRPr="00350F72" w:rsidRDefault="00E17C67" w:rsidP="00C86CBF">
            <w:pPr>
              <w:keepNext/>
              <w:keepLines/>
              <w:spacing w:after="0" w:line="240" w:lineRule="auto"/>
              <w:jc w:val="right"/>
              <w:rPr>
                <w:rFonts w:ascii="Calibri" w:eastAsia="Times New Roman" w:hAnsi="Calibri" w:cs="Times New Roman"/>
                <w:b/>
                <w:color w:val="000000"/>
                <w:sz w:val="20"/>
                <w:lang w:eastAsia="en-NZ"/>
              </w:rPr>
            </w:pPr>
            <w:r w:rsidRPr="00350F72">
              <w:rPr>
                <w:rFonts w:ascii="Calibri" w:eastAsia="Times New Roman" w:hAnsi="Calibri" w:cs="Times New Roman"/>
                <w:b/>
                <w:color w:val="000000"/>
                <w:sz w:val="20"/>
                <w:lang w:eastAsia="en-NZ"/>
              </w:rPr>
              <w:t>Number</w:t>
            </w:r>
          </w:p>
        </w:tc>
        <w:tc>
          <w:tcPr>
            <w:tcW w:w="995" w:type="dxa"/>
            <w:tcBorders>
              <w:left w:val="single" w:sz="4" w:space="0" w:color="auto"/>
              <w:bottom w:val="single" w:sz="4" w:space="0" w:color="auto"/>
            </w:tcBorders>
            <w:vAlign w:val="bottom"/>
          </w:tcPr>
          <w:p w14:paraId="046BBAD0" w14:textId="77777777" w:rsidR="00E17C67" w:rsidRPr="00350F72" w:rsidRDefault="00E17C67" w:rsidP="00CB5153">
            <w:pPr>
              <w:keepNext/>
              <w:keepLines/>
              <w:spacing w:after="0" w:line="240" w:lineRule="auto"/>
              <w:rPr>
                <w:rFonts w:ascii="Calibri" w:eastAsia="Times New Roman" w:hAnsi="Calibri" w:cs="Times New Roman"/>
                <w:b/>
                <w:color w:val="000000"/>
                <w:sz w:val="20"/>
                <w:lang w:eastAsia="en-NZ"/>
              </w:rPr>
            </w:pPr>
            <w:r w:rsidRPr="00350F72">
              <w:rPr>
                <w:rFonts w:ascii="Calibri" w:eastAsia="Times New Roman" w:hAnsi="Calibri" w:cs="Times New Roman"/>
                <w:b/>
                <w:color w:val="000000"/>
                <w:sz w:val="20"/>
                <w:lang w:eastAsia="en-NZ"/>
              </w:rPr>
              <w:t xml:space="preserve">% </w:t>
            </w:r>
          </w:p>
        </w:tc>
      </w:tr>
      <w:tr w:rsidR="00CB5153" w:rsidRPr="00A1769A" w14:paraId="6D2A1335" w14:textId="77777777" w:rsidTr="00400B80">
        <w:trPr>
          <w:cantSplit/>
          <w:trHeight w:val="182"/>
          <w:jc w:val="center"/>
        </w:trPr>
        <w:tc>
          <w:tcPr>
            <w:tcW w:w="2117" w:type="dxa"/>
            <w:tcBorders>
              <w:top w:val="nil"/>
              <w:left w:val="nil"/>
              <w:bottom w:val="nil"/>
              <w:right w:val="single" w:sz="4" w:space="0" w:color="auto"/>
            </w:tcBorders>
            <w:shd w:val="clear" w:color="auto" w:fill="auto"/>
            <w:noWrap/>
            <w:vAlign w:val="bottom"/>
          </w:tcPr>
          <w:p w14:paraId="45978BF1" w14:textId="77777777" w:rsidR="00CB5153" w:rsidRPr="00350F72" w:rsidRDefault="00CB5153" w:rsidP="00C86CBF">
            <w:pPr>
              <w:spacing w:after="0"/>
              <w:jc w:val="right"/>
              <w:rPr>
                <w:rFonts w:ascii="Calibri" w:hAnsi="Calibri"/>
                <w:color w:val="000000"/>
                <w:sz w:val="20"/>
                <w:szCs w:val="20"/>
              </w:rPr>
            </w:pPr>
            <w:r w:rsidRPr="00350F72">
              <w:rPr>
                <w:rFonts w:ascii="Calibri" w:hAnsi="Calibri"/>
                <w:color w:val="000000"/>
                <w:sz w:val="20"/>
                <w:szCs w:val="20"/>
              </w:rPr>
              <w:t>Māori</w:t>
            </w:r>
          </w:p>
        </w:tc>
        <w:tc>
          <w:tcPr>
            <w:tcW w:w="1196" w:type="dxa"/>
            <w:tcBorders>
              <w:top w:val="nil"/>
              <w:left w:val="single" w:sz="4" w:space="0" w:color="auto"/>
              <w:bottom w:val="nil"/>
              <w:right w:val="single" w:sz="4" w:space="0" w:color="auto"/>
            </w:tcBorders>
            <w:shd w:val="clear" w:color="auto" w:fill="auto"/>
            <w:noWrap/>
            <w:vAlign w:val="bottom"/>
          </w:tcPr>
          <w:p w14:paraId="61E06C33" w14:textId="77777777" w:rsidR="00CB5153" w:rsidRPr="00350F72" w:rsidRDefault="00CB5153" w:rsidP="00CB5153">
            <w:pPr>
              <w:spacing w:after="0"/>
              <w:jc w:val="right"/>
              <w:rPr>
                <w:rFonts w:ascii="Calibri" w:hAnsi="Calibri"/>
                <w:color w:val="000000"/>
                <w:sz w:val="20"/>
                <w:szCs w:val="20"/>
              </w:rPr>
            </w:pPr>
            <w:r w:rsidRPr="00350F72">
              <w:rPr>
                <w:rFonts w:ascii="Calibri" w:hAnsi="Calibri"/>
                <w:color w:val="000000"/>
                <w:sz w:val="20"/>
                <w:szCs w:val="20"/>
              </w:rPr>
              <w:t>19</w:t>
            </w:r>
          </w:p>
        </w:tc>
        <w:tc>
          <w:tcPr>
            <w:tcW w:w="949" w:type="dxa"/>
            <w:tcBorders>
              <w:top w:val="nil"/>
              <w:left w:val="single" w:sz="4" w:space="0" w:color="auto"/>
              <w:bottom w:val="nil"/>
              <w:right w:val="single" w:sz="4" w:space="0" w:color="auto"/>
            </w:tcBorders>
            <w:shd w:val="clear" w:color="auto" w:fill="auto"/>
            <w:vAlign w:val="bottom"/>
          </w:tcPr>
          <w:p w14:paraId="79A3BD96" w14:textId="77777777" w:rsidR="00CB5153" w:rsidRPr="00350F72" w:rsidRDefault="00CB5153" w:rsidP="00CB5153">
            <w:pPr>
              <w:spacing w:after="0"/>
              <w:rPr>
                <w:rFonts w:ascii="Calibri" w:hAnsi="Calibri"/>
                <w:color w:val="000000"/>
                <w:sz w:val="20"/>
                <w:szCs w:val="20"/>
              </w:rPr>
            </w:pPr>
            <w:r w:rsidRPr="00350F72">
              <w:rPr>
                <w:rFonts w:ascii="Calibri" w:hAnsi="Calibri"/>
                <w:color w:val="000000"/>
                <w:sz w:val="20"/>
                <w:szCs w:val="20"/>
              </w:rPr>
              <w:t>7.9</w:t>
            </w:r>
          </w:p>
        </w:tc>
        <w:tc>
          <w:tcPr>
            <w:tcW w:w="1136" w:type="dxa"/>
            <w:tcBorders>
              <w:top w:val="nil"/>
              <w:left w:val="single" w:sz="4" w:space="0" w:color="auto"/>
              <w:bottom w:val="nil"/>
              <w:right w:val="single" w:sz="4" w:space="0" w:color="auto"/>
            </w:tcBorders>
            <w:shd w:val="clear" w:color="auto" w:fill="auto"/>
            <w:vAlign w:val="bottom"/>
          </w:tcPr>
          <w:p w14:paraId="19AD1443" w14:textId="77777777" w:rsidR="00CB5153" w:rsidRPr="00350F72" w:rsidRDefault="00CB5153" w:rsidP="00C86CBF">
            <w:pPr>
              <w:spacing w:after="0"/>
              <w:jc w:val="right"/>
              <w:rPr>
                <w:rFonts w:ascii="Calibri" w:hAnsi="Calibri"/>
                <w:color w:val="000000"/>
                <w:sz w:val="20"/>
                <w:szCs w:val="20"/>
              </w:rPr>
            </w:pPr>
            <w:r w:rsidRPr="00350F72">
              <w:rPr>
                <w:rFonts w:ascii="Calibri" w:hAnsi="Calibri"/>
                <w:color w:val="000000"/>
                <w:sz w:val="20"/>
                <w:szCs w:val="20"/>
              </w:rPr>
              <w:t>-105</w:t>
            </w:r>
          </w:p>
        </w:tc>
        <w:tc>
          <w:tcPr>
            <w:tcW w:w="993" w:type="dxa"/>
            <w:tcBorders>
              <w:top w:val="nil"/>
              <w:left w:val="single" w:sz="4" w:space="0" w:color="auto"/>
              <w:bottom w:val="nil"/>
              <w:right w:val="single" w:sz="18" w:space="0" w:color="auto"/>
            </w:tcBorders>
            <w:shd w:val="clear" w:color="auto" w:fill="auto"/>
            <w:noWrap/>
            <w:vAlign w:val="bottom"/>
          </w:tcPr>
          <w:p w14:paraId="1FEF100E" w14:textId="77777777" w:rsidR="00CB5153" w:rsidRPr="00350F72" w:rsidRDefault="00CB5153" w:rsidP="00CB5153">
            <w:pPr>
              <w:spacing w:after="0"/>
              <w:rPr>
                <w:rFonts w:ascii="Calibri" w:hAnsi="Calibri"/>
                <w:color w:val="000000"/>
                <w:sz w:val="20"/>
                <w:szCs w:val="20"/>
              </w:rPr>
            </w:pPr>
            <w:r w:rsidRPr="00350F72">
              <w:rPr>
                <w:rFonts w:ascii="Calibri" w:hAnsi="Calibri"/>
                <w:color w:val="000000"/>
                <w:sz w:val="20"/>
                <w:szCs w:val="20"/>
              </w:rPr>
              <w:t>-43.8</w:t>
            </w:r>
          </w:p>
        </w:tc>
        <w:tc>
          <w:tcPr>
            <w:tcW w:w="1279" w:type="dxa"/>
            <w:tcBorders>
              <w:top w:val="single" w:sz="4" w:space="0" w:color="auto"/>
              <w:left w:val="single" w:sz="18" w:space="0" w:color="auto"/>
              <w:bottom w:val="nil"/>
              <w:right w:val="single" w:sz="4" w:space="0" w:color="auto"/>
            </w:tcBorders>
            <w:shd w:val="clear" w:color="auto" w:fill="auto"/>
            <w:vAlign w:val="bottom"/>
          </w:tcPr>
          <w:p w14:paraId="3147A807" w14:textId="77777777" w:rsidR="00CB5153" w:rsidRPr="00350F72" w:rsidRDefault="00CB5153" w:rsidP="00C86CBF">
            <w:pPr>
              <w:spacing w:after="0"/>
              <w:jc w:val="right"/>
              <w:rPr>
                <w:rFonts w:ascii="Calibri" w:hAnsi="Calibri"/>
                <w:color w:val="000000"/>
                <w:sz w:val="20"/>
                <w:szCs w:val="20"/>
              </w:rPr>
            </w:pPr>
            <w:r w:rsidRPr="00350F72">
              <w:rPr>
                <w:rFonts w:ascii="Calibri" w:hAnsi="Calibri"/>
                <w:color w:val="000000"/>
                <w:sz w:val="20"/>
                <w:szCs w:val="20"/>
              </w:rPr>
              <w:t>-55</w:t>
            </w:r>
          </w:p>
        </w:tc>
        <w:tc>
          <w:tcPr>
            <w:tcW w:w="995" w:type="dxa"/>
            <w:tcBorders>
              <w:top w:val="nil"/>
              <w:left w:val="single" w:sz="4" w:space="0" w:color="auto"/>
              <w:bottom w:val="nil"/>
              <w:right w:val="nil"/>
            </w:tcBorders>
            <w:shd w:val="clear" w:color="auto" w:fill="auto"/>
            <w:vAlign w:val="bottom"/>
          </w:tcPr>
          <w:p w14:paraId="2505DE33" w14:textId="77777777" w:rsidR="00CB5153" w:rsidRPr="00350F72" w:rsidRDefault="00CB5153" w:rsidP="00CB5153">
            <w:pPr>
              <w:spacing w:after="0"/>
              <w:rPr>
                <w:rFonts w:ascii="Calibri" w:hAnsi="Calibri"/>
                <w:color w:val="000000"/>
                <w:sz w:val="20"/>
                <w:szCs w:val="20"/>
              </w:rPr>
            </w:pPr>
            <w:r w:rsidRPr="00350F72">
              <w:rPr>
                <w:rFonts w:ascii="Calibri" w:hAnsi="Calibri"/>
                <w:color w:val="000000"/>
                <w:sz w:val="20"/>
                <w:szCs w:val="20"/>
              </w:rPr>
              <w:t>-6.0</w:t>
            </w:r>
          </w:p>
        </w:tc>
      </w:tr>
      <w:tr w:rsidR="00CB5153" w:rsidRPr="00A1769A" w14:paraId="546741A5" w14:textId="77777777" w:rsidTr="00400B80">
        <w:trPr>
          <w:cantSplit/>
          <w:trHeight w:val="182"/>
          <w:jc w:val="center"/>
        </w:trPr>
        <w:tc>
          <w:tcPr>
            <w:tcW w:w="2117" w:type="dxa"/>
            <w:tcBorders>
              <w:top w:val="nil"/>
              <w:left w:val="nil"/>
              <w:bottom w:val="nil"/>
              <w:right w:val="single" w:sz="4" w:space="0" w:color="auto"/>
            </w:tcBorders>
            <w:shd w:val="clear" w:color="auto" w:fill="auto"/>
            <w:noWrap/>
            <w:vAlign w:val="bottom"/>
          </w:tcPr>
          <w:p w14:paraId="022FB971" w14:textId="77777777" w:rsidR="00CB5153" w:rsidRPr="00350F72" w:rsidRDefault="00CB5153" w:rsidP="00C86CBF">
            <w:pPr>
              <w:spacing w:after="0"/>
              <w:jc w:val="right"/>
              <w:rPr>
                <w:rFonts w:ascii="Calibri" w:hAnsi="Calibri"/>
                <w:color w:val="000000"/>
                <w:sz w:val="20"/>
                <w:szCs w:val="20"/>
              </w:rPr>
            </w:pPr>
            <w:r w:rsidRPr="00350F72">
              <w:rPr>
                <w:rFonts w:ascii="Calibri" w:hAnsi="Calibri"/>
                <w:color w:val="000000"/>
                <w:sz w:val="20"/>
                <w:szCs w:val="20"/>
              </w:rPr>
              <w:t>Pacific</w:t>
            </w:r>
          </w:p>
        </w:tc>
        <w:tc>
          <w:tcPr>
            <w:tcW w:w="1196" w:type="dxa"/>
            <w:tcBorders>
              <w:top w:val="nil"/>
              <w:left w:val="single" w:sz="4" w:space="0" w:color="auto"/>
              <w:bottom w:val="nil"/>
              <w:right w:val="single" w:sz="4" w:space="0" w:color="auto"/>
            </w:tcBorders>
            <w:shd w:val="clear" w:color="auto" w:fill="auto"/>
            <w:noWrap/>
            <w:vAlign w:val="bottom"/>
          </w:tcPr>
          <w:p w14:paraId="7BE9C7CA" w14:textId="77777777" w:rsidR="00CB5153" w:rsidRPr="00350F72" w:rsidRDefault="00CB5153" w:rsidP="00CB5153">
            <w:pPr>
              <w:spacing w:after="0"/>
              <w:jc w:val="right"/>
              <w:rPr>
                <w:rFonts w:ascii="Calibri" w:hAnsi="Calibri"/>
                <w:color w:val="000000"/>
                <w:sz w:val="20"/>
                <w:szCs w:val="20"/>
              </w:rPr>
            </w:pPr>
            <w:r w:rsidRPr="00350F72">
              <w:rPr>
                <w:rFonts w:ascii="Calibri" w:hAnsi="Calibri"/>
                <w:color w:val="000000"/>
                <w:sz w:val="20"/>
                <w:szCs w:val="20"/>
              </w:rPr>
              <w:t>-5</w:t>
            </w:r>
          </w:p>
        </w:tc>
        <w:tc>
          <w:tcPr>
            <w:tcW w:w="949" w:type="dxa"/>
            <w:tcBorders>
              <w:top w:val="nil"/>
              <w:left w:val="single" w:sz="4" w:space="0" w:color="auto"/>
              <w:bottom w:val="nil"/>
              <w:right w:val="single" w:sz="4" w:space="0" w:color="auto"/>
            </w:tcBorders>
            <w:shd w:val="clear" w:color="auto" w:fill="auto"/>
            <w:vAlign w:val="bottom"/>
          </w:tcPr>
          <w:p w14:paraId="52A282E0" w14:textId="77777777" w:rsidR="00CB5153" w:rsidRPr="00350F72" w:rsidRDefault="00CB5153" w:rsidP="00CB5153">
            <w:pPr>
              <w:spacing w:after="0"/>
              <w:rPr>
                <w:rFonts w:ascii="Calibri" w:hAnsi="Calibri"/>
                <w:color w:val="000000"/>
                <w:sz w:val="20"/>
                <w:szCs w:val="20"/>
              </w:rPr>
            </w:pPr>
            <w:r w:rsidRPr="00350F72">
              <w:rPr>
                <w:rFonts w:ascii="Calibri" w:hAnsi="Calibri"/>
                <w:color w:val="000000"/>
                <w:sz w:val="20"/>
                <w:szCs w:val="20"/>
              </w:rPr>
              <w:t>-5.0</w:t>
            </w:r>
          </w:p>
        </w:tc>
        <w:tc>
          <w:tcPr>
            <w:tcW w:w="1136" w:type="dxa"/>
            <w:tcBorders>
              <w:top w:val="nil"/>
              <w:left w:val="single" w:sz="4" w:space="0" w:color="auto"/>
              <w:bottom w:val="nil"/>
              <w:right w:val="single" w:sz="4" w:space="0" w:color="auto"/>
            </w:tcBorders>
            <w:shd w:val="clear" w:color="auto" w:fill="auto"/>
            <w:vAlign w:val="bottom"/>
          </w:tcPr>
          <w:p w14:paraId="3F83AAE9" w14:textId="77777777" w:rsidR="00CB5153" w:rsidRPr="00350F72" w:rsidRDefault="00CB5153" w:rsidP="00C86CBF">
            <w:pPr>
              <w:spacing w:after="0"/>
              <w:jc w:val="right"/>
              <w:rPr>
                <w:rFonts w:ascii="Calibri" w:hAnsi="Calibri"/>
                <w:color w:val="000000"/>
                <w:sz w:val="20"/>
                <w:szCs w:val="20"/>
              </w:rPr>
            </w:pPr>
            <w:r w:rsidRPr="00350F72">
              <w:rPr>
                <w:rFonts w:ascii="Calibri" w:hAnsi="Calibri"/>
                <w:color w:val="000000"/>
                <w:sz w:val="20"/>
                <w:szCs w:val="20"/>
              </w:rPr>
              <w:t>-30</w:t>
            </w:r>
          </w:p>
        </w:tc>
        <w:tc>
          <w:tcPr>
            <w:tcW w:w="993" w:type="dxa"/>
            <w:tcBorders>
              <w:top w:val="nil"/>
              <w:left w:val="single" w:sz="4" w:space="0" w:color="auto"/>
              <w:bottom w:val="nil"/>
              <w:right w:val="single" w:sz="18" w:space="0" w:color="auto"/>
            </w:tcBorders>
            <w:shd w:val="clear" w:color="auto" w:fill="auto"/>
            <w:noWrap/>
            <w:vAlign w:val="bottom"/>
          </w:tcPr>
          <w:p w14:paraId="394076D3" w14:textId="77777777" w:rsidR="00CB5153" w:rsidRPr="00350F72" w:rsidRDefault="00CB5153" w:rsidP="00CB5153">
            <w:pPr>
              <w:spacing w:after="0"/>
              <w:rPr>
                <w:rFonts w:ascii="Calibri" w:hAnsi="Calibri"/>
                <w:color w:val="000000"/>
                <w:sz w:val="20"/>
                <w:szCs w:val="20"/>
              </w:rPr>
            </w:pPr>
            <w:r w:rsidRPr="00350F72">
              <w:rPr>
                <w:rFonts w:ascii="Calibri" w:hAnsi="Calibri"/>
                <w:color w:val="000000"/>
                <w:sz w:val="20"/>
                <w:szCs w:val="20"/>
              </w:rPr>
              <w:t>-36.6</w:t>
            </w:r>
          </w:p>
        </w:tc>
        <w:tc>
          <w:tcPr>
            <w:tcW w:w="1279" w:type="dxa"/>
            <w:tcBorders>
              <w:top w:val="nil"/>
              <w:left w:val="single" w:sz="18" w:space="0" w:color="auto"/>
              <w:bottom w:val="nil"/>
              <w:right w:val="single" w:sz="4" w:space="0" w:color="auto"/>
            </w:tcBorders>
            <w:shd w:val="clear" w:color="auto" w:fill="auto"/>
            <w:vAlign w:val="bottom"/>
          </w:tcPr>
          <w:p w14:paraId="791B4FBF" w14:textId="77777777" w:rsidR="00CB5153" w:rsidRPr="00350F72" w:rsidRDefault="00CB5153" w:rsidP="00C86CBF">
            <w:pPr>
              <w:spacing w:after="0"/>
              <w:jc w:val="right"/>
              <w:rPr>
                <w:rFonts w:ascii="Calibri" w:hAnsi="Calibri"/>
                <w:color w:val="000000"/>
                <w:sz w:val="20"/>
                <w:szCs w:val="20"/>
              </w:rPr>
            </w:pPr>
            <w:r w:rsidRPr="00350F72">
              <w:rPr>
                <w:rFonts w:ascii="Calibri" w:hAnsi="Calibri"/>
                <w:color w:val="000000"/>
                <w:sz w:val="20"/>
                <w:szCs w:val="20"/>
              </w:rPr>
              <w:t>-21</w:t>
            </w:r>
          </w:p>
        </w:tc>
        <w:tc>
          <w:tcPr>
            <w:tcW w:w="995" w:type="dxa"/>
            <w:tcBorders>
              <w:top w:val="nil"/>
              <w:left w:val="single" w:sz="4" w:space="0" w:color="auto"/>
              <w:bottom w:val="nil"/>
              <w:right w:val="nil"/>
            </w:tcBorders>
            <w:shd w:val="clear" w:color="auto" w:fill="auto"/>
            <w:vAlign w:val="bottom"/>
          </w:tcPr>
          <w:p w14:paraId="27CF3D16" w14:textId="77777777" w:rsidR="00CB5153" w:rsidRPr="00350F72" w:rsidRDefault="00CB5153" w:rsidP="00CB5153">
            <w:pPr>
              <w:spacing w:after="0"/>
              <w:rPr>
                <w:rFonts w:ascii="Calibri" w:hAnsi="Calibri"/>
                <w:color w:val="000000"/>
                <w:sz w:val="20"/>
                <w:szCs w:val="20"/>
              </w:rPr>
            </w:pPr>
            <w:r w:rsidRPr="00350F72">
              <w:rPr>
                <w:rFonts w:ascii="Calibri" w:hAnsi="Calibri"/>
                <w:color w:val="000000"/>
                <w:sz w:val="20"/>
                <w:szCs w:val="20"/>
              </w:rPr>
              <w:t>-6.1</w:t>
            </w:r>
          </w:p>
        </w:tc>
      </w:tr>
      <w:tr w:rsidR="00CB5153" w:rsidRPr="00A1769A" w14:paraId="20B613F7" w14:textId="77777777" w:rsidTr="00400B80">
        <w:trPr>
          <w:cantSplit/>
          <w:trHeight w:val="182"/>
          <w:jc w:val="center"/>
        </w:trPr>
        <w:tc>
          <w:tcPr>
            <w:tcW w:w="2117" w:type="dxa"/>
            <w:tcBorders>
              <w:top w:val="nil"/>
              <w:left w:val="nil"/>
              <w:right w:val="single" w:sz="4" w:space="0" w:color="auto"/>
            </w:tcBorders>
            <w:shd w:val="clear" w:color="auto" w:fill="auto"/>
            <w:noWrap/>
            <w:vAlign w:val="bottom"/>
          </w:tcPr>
          <w:p w14:paraId="184E29D1" w14:textId="77777777" w:rsidR="00CB5153" w:rsidRPr="00350F72" w:rsidRDefault="00CB5153" w:rsidP="00C86CBF">
            <w:pPr>
              <w:spacing w:after="0"/>
              <w:jc w:val="right"/>
              <w:rPr>
                <w:rFonts w:ascii="Calibri" w:hAnsi="Calibri"/>
                <w:color w:val="000000"/>
                <w:sz w:val="20"/>
                <w:szCs w:val="20"/>
              </w:rPr>
            </w:pPr>
            <w:r w:rsidRPr="00350F72">
              <w:rPr>
                <w:rFonts w:ascii="Calibri" w:hAnsi="Calibri"/>
                <w:color w:val="000000"/>
                <w:sz w:val="20"/>
                <w:szCs w:val="20"/>
              </w:rPr>
              <w:t>Asian</w:t>
            </w:r>
          </w:p>
        </w:tc>
        <w:tc>
          <w:tcPr>
            <w:tcW w:w="1196" w:type="dxa"/>
            <w:tcBorders>
              <w:top w:val="nil"/>
              <w:left w:val="single" w:sz="4" w:space="0" w:color="auto"/>
              <w:right w:val="single" w:sz="4" w:space="0" w:color="auto"/>
            </w:tcBorders>
            <w:shd w:val="clear" w:color="auto" w:fill="auto"/>
            <w:noWrap/>
            <w:vAlign w:val="bottom"/>
          </w:tcPr>
          <w:p w14:paraId="09A6E65C" w14:textId="77777777" w:rsidR="00CB5153" w:rsidRPr="00350F72" w:rsidRDefault="00CB5153" w:rsidP="00CB5153">
            <w:pPr>
              <w:spacing w:after="0"/>
              <w:jc w:val="right"/>
              <w:rPr>
                <w:rFonts w:ascii="Calibri" w:hAnsi="Calibri"/>
                <w:color w:val="000000"/>
                <w:sz w:val="20"/>
                <w:szCs w:val="20"/>
              </w:rPr>
            </w:pPr>
            <w:r w:rsidRPr="00350F72">
              <w:rPr>
                <w:rFonts w:ascii="Calibri" w:hAnsi="Calibri"/>
                <w:color w:val="000000"/>
                <w:sz w:val="20"/>
                <w:szCs w:val="20"/>
              </w:rPr>
              <w:t>16</w:t>
            </w:r>
          </w:p>
        </w:tc>
        <w:tc>
          <w:tcPr>
            <w:tcW w:w="949" w:type="dxa"/>
            <w:tcBorders>
              <w:top w:val="nil"/>
              <w:left w:val="single" w:sz="4" w:space="0" w:color="auto"/>
              <w:right w:val="single" w:sz="4" w:space="0" w:color="auto"/>
            </w:tcBorders>
            <w:shd w:val="clear" w:color="auto" w:fill="auto"/>
            <w:vAlign w:val="bottom"/>
          </w:tcPr>
          <w:p w14:paraId="62E00A12" w14:textId="77777777" w:rsidR="00CB5153" w:rsidRPr="00350F72" w:rsidRDefault="00CB5153" w:rsidP="00CB5153">
            <w:pPr>
              <w:spacing w:after="0"/>
              <w:rPr>
                <w:rFonts w:ascii="Calibri" w:hAnsi="Calibri"/>
                <w:color w:val="000000"/>
                <w:sz w:val="20"/>
                <w:szCs w:val="20"/>
              </w:rPr>
            </w:pPr>
            <w:r w:rsidRPr="00350F72">
              <w:rPr>
                <w:rFonts w:ascii="Calibri" w:hAnsi="Calibri"/>
                <w:color w:val="000000"/>
                <w:sz w:val="20"/>
                <w:szCs w:val="20"/>
              </w:rPr>
              <w:t>13.9</w:t>
            </w:r>
          </w:p>
        </w:tc>
        <w:tc>
          <w:tcPr>
            <w:tcW w:w="1136" w:type="dxa"/>
            <w:tcBorders>
              <w:top w:val="nil"/>
              <w:left w:val="single" w:sz="4" w:space="0" w:color="auto"/>
              <w:right w:val="single" w:sz="4" w:space="0" w:color="auto"/>
            </w:tcBorders>
            <w:shd w:val="clear" w:color="auto" w:fill="auto"/>
            <w:vAlign w:val="bottom"/>
          </w:tcPr>
          <w:p w14:paraId="47EF4CA6" w14:textId="77777777" w:rsidR="00CB5153" w:rsidRPr="00350F72" w:rsidRDefault="00CB5153" w:rsidP="00C86CBF">
            <w:pPr>
              <w:spacing w:after="0"/>
              <w:jc w:val="right"/>
              <w:rPr>
                <w:rFonts w:ascii="Calibri" w:hAnsi="Calibri"/>
                <w:color w:val="000000"/>
                <w:sz w:val="20"/>
                <w:szCs w:val="20"/>
              </w:rPr>
            </w:pPr>
            <w:r w:rsidRPr="00350F72">
              <w:rPr>
                <w:rFonts w:ascii="Calibri" w:hAnsi="Calibri"/>
                <w:color w:val="000000"/>
                <w:sz w:val="20"/>
                <w:szCs w:val="20"/>
              </w:rPr>
              <w:t>-40</w:t>
            </w:r>
          </w:p>
        </w:tc>
        <w:tc>
          <w:tcPr>
            <w:tcW w:w="993" w:type="dxa"/>
            <w:tcBorders>
              <w:top w:val="nil"/>
              <w:left w:val="single" w:sz="4" w:space="0" w:color="auto"/>
              <w:right w:val="single" w:sz="18" w:space="0" w:color="auto"/>
            </w:tcBorders>
            <w:shd w:val="clear" w:color="auto" w:fill="auto"/>
            <w:noWrap/>
            <w:vAlign w:val="bottom"/>
          </w:tcPr>
          <w:p w14:paraId="425C5CAA" w14:textId="77777777" w:rsidR="00CB5153" w:rsidRPr="00350F72" w:rsidRDefault="00CB5153" w:rsidP="00CB5153">
            <w:pPr>
              <w:spacing w:after="0"/>
              <w:rPr>
                <w:rFonts w:ascii="Calibri" w:hAnsi="Calibri"/>
                <w:color w:val="000000"/>
                <w:sz w:val="20"/>
                <w:szCs w:val="20"/>
              </w:rPr>
            </w:pPr>
            <w:r w:rsidRPr="00350F72">
              <w:rPr>
                <w:rFonts w:ascii="Calibri" w:hAnsi="Calibri"/>
                <w:color w:val="000000"/>
                <w:sz w:val="20"/>
                <w:szCs w:val="20"/>
              </w:rPr>
              <w:t>-38.8</w:t>
            </w:r>
          </w:p>
        </w:tc>
        <w:tc>
          <w:tcPr>
            <w:tcW w:w="1279" w:type="dxa"/>
            <w:tcBorders>
              <w:top w:val="nil"/>
              <w:left w:val="single" w:sz="18" w:space="0" w:color="auto"/>
              <w:right w:val="single" w:sz="4" w:space="0" w:color="auto"/>
            </w:tcBorders>
            <w:shd w:val="clear" w:color="auto" w:fill="auto"/>
            <w:vAlign w:val="bottom"/>
          </w:tcPr>
          <w:p w14:paraId="6C5BAFDC" w14:textId="77777777" w:rsidR="00CB5153" w:rsidRPr="00350F72" w:rsidRDefault="00CB5153" w:rsidP="00C86CBF">
            <w:pPr>
              <w:spacing w:after="0"/>
              <w:jc w:val="right"/>
              <w:rPr>
                <w:rFonts w:ascii="Calibri" w:hAnsi="Calibri"/>
                <w:color w:val="000000"/>
                <w:sz w:val="20"/>
                <w:szCs w:val="20"/>
              </w:rPr>
            </w:pPr>
            <w:r w:rsidRPr="00350F72">
              <w:rPr>
                <w:rFonts w:ascii="Calibri" w:hAnsi="Calibri"/>
                <w:color w:val="000000"/>
                <w:sz w:val="20"/>
                <w:szCs w:val="20"/>
              </w:rPr>
              <w:t>34</w:t>
            </w:r>
          </w:p>
        </w:tc>
        <w:tc>
          <w:tcPr>
            <w:tcW w:w="995" w:type="dxa"/>
            <w:tcBorders>
              <w:top w:val="nil"/>
              <w:left w:val="single" w:sz="4" w:space="0" w:color="auto"/>
              <w:right w:val="nil"/>
            </w:tcBorders>
            <w:shd w:val="clear" w:color="auto" w:fill="auto"/>
            <w:vAlign w:val="bottom"/>
          </w:tcPr>
          <w:p w14:paraId="14767D6A" w14:textId="77777777" w:rsidR="00CB5153" w:rsidRPr="00350F72" w:rsidRDefault="00CB5153" w:rsidP="00CB5153">
            <w:pPr>
              <w:spacing w:after="0"/>
              <w:rPr>
                <w:rFonts w:ascii="Calibri" w:hAnsi="Calibri"/>
                <w:color w:val="000000"/>
                <w:sz w:val="20"/>
                <w:szCs w:val="20"/>
              </w:rPr>
            </w:pPr>
            <w:r w:rsidRPr="00350F72">
              <w:rPr>
                <w:rFonts w:ascii="Calibri" w:hAnsi="Calibri"/>
                <w:color w:val="000000"/>
                <w:sz w:val="20"/>
                <w:szCs w:val="20"/>
              </w:rPr>
              <w:t>8.6</w:t>
            </w:r>
          </w:p>
        </w:tc>
      </w:tr>
      <w:tr w:rsidR="00CB5153" w:rsidRPr="00A1769A" w14:paraId="5EDC184D" w14:textId="77777777" w:rsidTr="00400B80">
        <w:trPr>
          <w:cantSplit/>
          <w:trHeight w:val="182"/>
          <w:jc w:val="center"/>
        </w:trPr>
        <w:tc>
          <w:tcPr>
            <w:tcW w:w="2117" w:type="dxa"/>
            <w:tcBorders>
              <w:top w:val="nil"/>
              <w:left w:val="nil"/>
              <w:bottom w:val="single" w:sz="18" w:space="0" w:color="auto"/>
              <w:right w:val="single" w:sz="4" w:space="0" w:color="auto"/>
            </w:tcBorders>
            <w:shd w:val="clear" w:color="auto" w:fill="auto"/>
            <w:noWrap/>
            <w:vAlign w:val="bottom"/>
          </w:tcPr>
          <w:p w14:paraId="0428B703" w14:textId="77777777" w:rsidR="00CB5153" w:rsidRPr="00350F72" w:rsidRDefault="00CB5153" w:rsidP="00C86CBF">
            <w:pPr>
              <w:spacing w:after="0"/>
              <w:jc w:val="right"/>
              <w:rPr>
                <w:rFonts w:ascii="Calibri" w:hAnsi="Calibri"/>
                <w:color w:val="000000"/>
                <w:sz w:val="20"/>
                <w:szCs w:val="20"/>
              </w:rPr>
            </w:pPr>
            <w:r w:rsidRPr="00350F72">
              <w:rPr>
                <w:rFonts w:ascii="Calibri" w:hAnsi="Calibri"/>
                <w:color w:val="000000"/>
                <w:sz w:val="20"/>
                <w:szCs w:val="20"/>
              </w:rPr>
              <w:t>European/Other</w:t>
            </w:r>
          </w:p>
        </w:tc>
        <w:tc>
          <w:tcPr>
            <w:tcW w:w="1196" w:type="dxa"/>
            <w:tcBorders>
              <w:top w:val="nil"/>
              <w:left w:val="single" w:sz="4" w:space="0" w:color="auto"/>
              <w:bottom w:val="single" w:sz="18" w:space="0" w:color="auto"/>
              <w:right w:val="single" w:sz="4" w:space="0" w:color="auto"/>
            </w:tcBorders>
            <w:shd w:val="clear" w:color="auto" w:fill="auto"/>
            <w:noWrap/>
            <w:vAlign w:val="bottom"/>
          </w:tcPr>
          <w:p w14:paraId="29019E1F" w14:textId="77777777" w:rsidR="00CB5153" w:rsidRPr="00350F72" w:rsidRDefault="00CB5153" w:rsidP="00CB5153">
            <w:pPr>
              <w:spacing w:after="0"/>
              <w:jc w:val="right"/>
              <w:rPr>
                <w:rFonts w:ascii="Calibri" w:hAnsi="Calibri"/>
                <w:color w:val="000000"/>
                <w:sz w:val="20"/>
                <w:szCs w:val="20"/>
              </w:rPr>
            </w:pPr>
            <w:r w:rsidRPr="00350F72">
              <w:rPr>
                <w:rFonts w:ascii="Calibri" w:hAnsi="Calibri"/>
                <w:color w:val="000000"/>
                <w:sz w:val="20"/>
                <w:szCs w:val="20"/>
              </w:rPr>
              <w:t>-45</w:t>
            </w:r>
          </w:p>
        </w:tc>
        <w:tc>
          <w:tcPr>
            <w:tcW w:w="949" w:type="dxa"/>
            <w:tcBorders>
              <w:top w:val="nil"/>
              <w:left w:val="single" w:sz="4" w:space="0" w:color="auto"/>
              <w:bottom w:val="single" w:sz="18" w:space="0" w:color="auto"/>
              <w:right w:val="single" w:sz="4" w:space="0" w:color="auto"/>
            </w:tcBorders>
            <w:shd w:val="clear" w:color="auto" w:fill="auto"/>
            <w:vAlign w:val="bottom"/>
          </w:tcPr>
          <w:p w14:paraId="3E1BCF4C" w14:textId="77777777" w:rsidR="00CB5153" w:rsidRPr="00350F72" w:rsidRDefault="00CB5153" w:rsidP="00CB5153">
            <w:pPr>
              <w:spacing w:after="0"/>
              <w:rPr>
                <w:rFonts w:ascii="Calibri" w:hAnsi="Calibri"/>
                <w:color w:val="000000"/>
                <w:sz w:val="20"/>
                <w:szCs w:val="20"/>
              </w:rPr>
            </w:pPr>
            <w:r w:rsidRPr="00350F72">
              <w:rPr>
                <w:rFonts w:ascii="Calibri" w:hAnsi="Calibri"/>
                <w:color w:val="000000"/>
                <w:sz w:val="20"/>
                <w:szCs w:val="20"/>
              </w:rPr>
              <w:t>-2.3</w:t>
            </w:r>
          </w:p>
        </w:tc>
        <w:tc>
          <w:tcPr>
            <w:tcW w:w="1136" w:type="dxa"/>
            <w:tcBorders>
              <w:top w:val="nil"/>
              <w:left w:val="single" w:sz="4" w:space="0" w:color="auto"/>
              <w:bottom w:val="single" w:sz="18" w:space="0" w:color="auto"/>
              <w:right w:val="single" w:sz="4" w:space="0" w:color="auto"/>
            </w:tcBorders>
            <w:shd w:val="clear" w:color="auto" w:fill="auto"/>
            <w:vAlign w:val="bottom"/>
          </w:tcPr>
          <w:p w14:paraId="4BEC6DC0" w14:textId="77777777" w:rsidR="00CB5153" w:rsidRPr="00350F72" w:rsidRDefault="00CB5153" w:rsidP="00C86CBF">
            <w:pPr>
              <w:spacing w:after="0"/>
              <w:jc w:val="right"/>
              <w:rPr>
                <w:rFonts w:ascii="Calibri" w:hAnsi="Calibri"/>
                <w:color w:val="000000"/>
                <w:sz w:val="20"/>
                <w:szCs w:val="20"/>
              </w:rPr>
            </w:pPr>
            <w:r w:rsidRPr="00350F72">
              <w:rPr>
                <w:rFonts w:ascii="Calibri" w:hAnsi="Calibri"/>
                <w:color w:val="000000"/>
                <w:sz w:val="20"/>
                <w:szCs w:val="20"/>
              </w:rPr>
              <w:t>-853</w:t>
            </w:r>
          </w:p>
        </w:tc>
        <w:tc>
          <w:tcPr>
            <w:tcW w:w="993" w:type="dxa"/>
            <w:tcBorders>
              <w:top w:val="nil"/>
              <w:left w:val="single" w:sz="4" w:space="0" w:color="auto"/>
              <w:bottom w:val="single" w:sz="18" w:space="0" w:color="auto"/>
              <w:right w:val="single" w:sz="18" w:space="0" w:color="auto"/>
            </w:tcBorders>
            <w:shd w:val="clear" w:color="auto" w:fill="auto"/>
            <w:noWrap/>
            <w:vAlign w:val="bottom"/>
          </w:tcPr>
          <w:p w14:paraId="483B421B" w14:textId="77777777" w:rsidR="00CB5153" w:rsidRPr="00350F72" w:rsidRDefault="00CB5153" w:rsidP="00CB5153">
            <w:pPr>
              <w:spacing w:after="0"/>
              <w:rPr>
                <w:rFonts w:ascii="Calibri" w:hAnsi="Calibri"/>
                <w:color w:val="000000"/>
                <w:sz w:val="20"/>
                <w:szCs w:val="20"/>
              </w:rPr>
            </w:pPr>
            <w:r w:rsidRPr="00350F72">
              <w:rPr>
                <w:rFonts w:ascii="Calibri" w:hAnsi="Calibri"/>
                <w:color w:val="000000"/>
                <w:sz w:val="20"/>
                <w:szCs w:val="20"/>
              </w:rPr>
              <w:t>-48.4</w:t>
            </w:r>
          </w:p>
        </w:tc>
        <w:tc>
          <w:tcPr>
            <w:tcW w:w="1279" w:type="dxa"/>
            <w:tcBorders>
              <w:top w:val="nil"/>
              <w:left w:val="single" w:sz="18" w:space="0" w:color="auto"/>
              <w:bottom w:val="single" w:sz="18" w:space="0" w:color="auto"/>
              <w:right w:val="single" w:sz="4" w:space="0" w:color="auto"/>
            </w:tcBorders>
            <w:shd w:val="clear" w:color="auto" w:fill="auto"/>
            <w:vAlign w:val="bottom"/>
          </w:tcPr>
          <w:p w14:paraId="2463DA1B" w14:textId="77777777" w:rsidR="00CB5153" w:rsidRPr="00350F72" w:rsidRDefault="00CB5153" w:rsidP="00C86CBF">
            <w:pPr>
              <w:spacing w:after="0"/>
              <w:jc w:val="right"/>
              <w:rPr>
                <w:rFonts w:ascii="Calibri" w:hAnsi="Calibri"/>
                <w:color w:val="000000"/>
                <w:sz w:val="20"/>
                <w:szCs w:val="20"/>
              </w:rPr>
            </w:pPr>
            <w:r w:rsidRPr="00350F72">
              <w:rPr>
                <w:rFonts w:ascii="Calibri" w:hAnsi="Calibri"/>
                <w:color w:val="000000"/>
                <w:sz w:val="20"/>
                <w:szCs w:val="20"/>
              </w:rPr>
              <w:t>-467</w:t>
            </w:r>
          </w:p>
        </w:tc>
        <w:tc>
          <w:tcPr>
            <w:tcW w:w="995" w:type="dxa"/>
            <w:tcBorders>
              <w:top w:val="nil"/>
              <w:left w:val="single" w:sz="4" w:space="0" w:color="auto"/>
              <w:bottom w:val="single" w:sz="18" w:space="0" w:color="auto"/>
              <w:right w:val="nil"/>
            </w:tcBorders>
            <w:shd w:val="clear" w:color="auto" w:fill="auto"/>
            <w:vAlign w:val="bottom"/>
          </w:tcPr>
          <w:p w14:paraId="25B2FE8C" w14:textId="77777777" w:rsidR="00CB5153" w:rsidRPr="00350F72" w:rsidRDefault="00CB5153" w:rsidP="00CB5153">
            <w:pPr>
              <w:spacing w:after="0"/>
              <w:rPr>
                <w:rFonts w:ascii="Calibri" w:hAnsi="Calibri"/>
                <w:color w:val="000000"/>
                <w:sz w:val="20"/>
                <w:szCs w:val="20"/>
              </w:rPr>
            </w:pPr>
            <w:r w:rsidRPr="00350F72">
              <w:rPr>
                <w:rFonts w:ascii="Calibri" w:hAnsi="Calibri"/>
                <w:color w:val="000000"/>
                <w:sz w:val="20"/>
                <w:szCs w:val="20"/>
              </w:rPr>
              <w:t>-6.7</w:t>
            </w:r>
          </w:p>
        </w:tc>
      </w:tr>
      <w:tr w:rsidR="00CB5153" w:rsidRPr="00A1769A" w14:paraId="369CDD78" w14:textId="77777777" w:rsidTr="00400B80">
        <w:trPr>
          <w:cantSplit/>
          <w:trHeight w:val="45"/>
          <w:jc w:val="center"/>
        </w:trPr>
        <w:tc>
          <w:tcPr>
            <w:tcW w:w="2117" w:type="dxa"/>
            <w:tcBorders>
              <w:top w:val="single" w:sz="18" w:space="0" w:color="auto"/>
              <w:left w:val="nil"/>
              <w:bottom w:val="single" w:sz="4" w:space="0" w:color="auto"/>
              <w:right w:val="single" w:sz="4" w:space="0" w:color="auto"/>
            </w:tcBorders>
            <w:shd w:val="clear" w:color="auto" w:fill="auto"/>
            <w:noWrap/>
            <w:vAlign w:val="bottom"/>
          </w:tcPr>
          <w:p w14:paraId="3C9D1AD7" w14:textId="77777777" w:rsidR="00CB5153" w:rsidRPr="00350F72" w:rsidRDefault="00CB5153" w:rsidP="00C86CBF">
            <w:pPr>
              <w:spacing w:after="0"/>
              <w:jc w:val="right"/>
              <w:rPr>
                <w:rFonts w:ascii="Calibri" w:hAnsi="Calibri"/>
                <w:color w:val="000000"/>
                <w:sz w:val="20"/>
                <w:szCs w:val="20"/>
              </w:rPr>
            </w:pPr>
            <w:r w:rsidRPr="00350F72">
              <w:rPr>
                <w:rFonts w:ascii="Calibri" w:hAnsi="Calibri"/>
                <w:color w:val="000000"/>
                <w:sz w:val="20"/>
                <w:szCs w:val="20"/>
              </w:rPr>
              <w:t>Total Population</w:t>
            </w:r>
          </w:p>
        </w:tc>
        <w:tc>
          <w:tcPr>
            <w:tcW w:w="1196"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721B6DEA" w14:textId="77777777" w:rsidR="00CB5153" w:rsidRPr="00350F72" w:rsidRDefault="00CB5153" w:rsidP="00CB5153">
            <w:pPr>
              <w:spacing w:after="0"/>
              <w:jc w:val="right"/>
              <w:rPr>
                <w:rFonts w:ascii="Calibri" w:hAnsi="Calibri"/>
                <w:color w:val="000000"/>
                <w:sz w:val="20"/>
                <w:szCs w:val="20"/>
              </w:rPr>
            </w:pPr>
            <w:r w:rsidRPr="00350F72">
              <w:rPr>
                <w:rFonts w:ascii="Calibri" w:hAnsi="Calibri"/>
                <w:color w:val="000000"/>
                <w:sz w:val="20"/>
                <w:szCs w:val="20"/>
              </w:rPr>
              <w:t>-9</w:t>
            </w:r>
          </w:p>
        </w:tc>
        <w:tc>
          <w:tcPr>
            <w:tcW w:w="949" w:type="dxa"/>
            <w:tcBorders>
              <w:top w:val="single" w:sz="18" w:space="0" w:color="auto"/>
              <w:left w:val="single" w:sz="4" w:space="0" w:color="auto"/>
              <w:bottom w:val="single" w:sz="4" w:space="0" w:color="auto"/>
              <w:right w:val="single" w:sz="4" w:space="0" w:color="auto"/>
            </w:tcBorders>
            <w:shd w:val="clear" w:color="auto" w:fill="auto"/>
            <w:vAlign w:val="bottom"/>
          </w:tcPr>
          <w:p w14:paraId="2154929C" w14:textId="77777777" w:rsidR="00CB5153" w:rsidRPr="00350F72" w:rsidRDefault="00CB5153" w:rsidP="00CB5153">
            <w:pPr>
              <w:spacing w:after="0"/>
              <w:rPr>
                <w:rFonts w:ascii="Calibri" w:hAnsi="Calibri"/>
                <w:color w:val="000000"/>
                <w:sz w:val="20"/>
                <w:szCs w:val="20"/>
              </w:rPr>
            </w:pPr>
            <w:r w:rsidRPr="00350F72">
              <w:rPr>
                <w:rFonts w:ascii="Calibri" w:hAnsi="Calibri"/>
                <w:color w:val="000000"/>
                <w:sz w:val="20"/>
                <w:szCs w:val="20"/>
              </w:rPr>
              <w:t>-0.4</w:t>
            </w:r>
          </w:p>
        </w:tc>
        <w:tc>
          <w:tcPr>
            <w:tcW w:w="1136" w:type="dxa"/>
            <w:tcBorders>
              <w:top w:val="single" w:sz="18" w:space="0" w:color="auto"/>
              <w:left w:val="single" w:sz="4" w:space="0" w:color="auto"/>
              <w:bottom w:val="single" w:sz="4" w:space="0" w:color="auto"/>
              <w:right w:val="single" w:sz="4" w:space="0" w:color="auto"/>
            </w:tcBorders>
            <w:shd w:val="clear" w:color="auto" w:fill="auto"/>
            <w:vAlign w:val="bottom"/>
          </w:tcPr>
          <w:p w14:paraId="44893407" w14:textId="77777777" w:rsidR="00CB5153" w:rsidRPr="00350F72" w:rsidRDefault="00CB5153" w:rsidP="00C86CBF">
            <w:pPr>
              <w:spacing w:after="0"/>
              <w:jc w:val="right"/>
              <w:rPr>
                <w:rFonts w:ascii="Calibri" w:hAnsi="Calibri"/>
                <w:color w:val="000000"/>
                <w:sz w:val="20"/>
                <w:szCs w:val="20"/>
              </w:rPr>
            </w:pPr>
            <w:r w:rsidRPr="00350F72">
              <w:rPr>
                <w:rFonts w:ascii="Calibri" w:hAnsi="Calibri"/>
                <w:color w:val="000000"/>
                <w:sz w:val="20"/>
                <w:szCs w:val="20"/>
              </w:rPr>
              <w:t>-1031</w:t>
            </w:r>
          </w:p>
        </w:tc>
        <w:tc>
          <w:tcPr>
            <w:tcW w:w="993" w:type="dxa"/>
            <w:tcBorders>
              <w:top w:val="single" w:sz="18" w:space="0" w:color="auto"/>
              <w:left w:val="single" w:sz="4" w:space="0" w:color="auto"/>
              <w:bottom w:val="single" w:sz="4" w:space="0" w:color="auto"/>
              <w:right w:val="single" w:sz="18" w:space="0" w:color="auto"/>
            </w:tcBorders>
            <w:shd w:val="clear" w:color="auto" w:fill="auto"/>
            <w:noWrap/>
            <w:vAlign w:val="bottom"/>
          </w:tcPr>
          <w:p w14:paraId="5E9DC3B6" w14:textId="77777777" w:rsidR="00CB5153" w:rsidRPr="00350F72" w:rsidRDefault="00CB5153" w:rsidP="00CB5153">
            <w:pPr>
              <w:spacing w:after="0"/>
              <w:rPr>
                <w:rFonts w:ascii="Calibri" w:hAnsi="Calibri"/>
                <w:color w:val="000000"/>
                <w:sz w:val="20"/>
                <w:szCs w:val="20"/>
              </w:rPr>
            </w:pPr>
            <w:r w:rsidRPr="00350F72">
              <w:rPr>
                <w:rFonts w:ascii="Calibri" w:hAnsi="Calibri"/>
                <w:color w:val="000000"/>
                <w:sz w:val="20"/>
                <w:szCs w:val="20"/>
              </w:rPr>
              <w:t>-46.9</w:t>
            </w:r>
          </w:p>
        </w:tc>
        <w:tc>
          <w:tcPr>
            <w:tcW w:w="1279" w:type="dxa"/>
            <w:tcBorders>
              <w:top w:val="single" w:sz="18" w:space="0" w:color="auto"/>
              <w:left w:val="single" w:sz="18" w:space="0" w:color="auto"/>
              <w:bottom w:val="single" w:sz="4" w:space="0" w:color="auto"/>
              <w:right w:val="single" w:sz="4" w:space="0" w:color="auto"/>
            </w:tcBorders>
            <w:shd w:val="clear" w:color="auto" w:fill="auto"/>
            <w:vAlign w:val="bottom"/>
          </w:tcPr>
          <w:p w14:paraId="656A0EC8" w14:textId="77777777" w:rsidR="00CB5153" w:rsidRPr="00350F72" w:rsidRDefault="00CB5153" w:rsidP="00C86CBF">
            <w:pPr>
              <w:spacing w:after="0"/>
              <w:jc w:val="right"/>
              <w:rPr>
                <w:rFonts w:ascii="Calibri" w:hAnsi="Calibri"/>
                <w:color w:val="000000"/>
                <w:sz w:val="20"/>
                <w:szCs w:val="20"/>
              </w:rPr>
            </w:pPr>
            <w:r w:rsidRPr="00350F72">
              <w:rPr>
                <w:rFonts w:ascii="Calibri" w:hAnsi="Calibri"/>
                <w:color w:val="000000"/>
                <w:sz w:val="20"/>
                <w:szCs w:val="20"/>
              </w:rPr>
              <w:t>-500</w:t>
            </w:r>
          </w:p>
        </w:tc>
        <w:tc>
          <w:tcPr>
            <w:tcW w:w="995" w:type="dxa"/>
            <w:tcBorders>
              <w:top w:val="single" w:sz="18" w:space="0" w:color="auto"/>
              <w:left w:val="single" w:sz="4" w:space="0" w:color="auto"/>
              <w:bottom w:val="single" w:sz="4" w:space="0" w:color="auto"/>
              <w:right w:val="nil"/>
            </w:tcBorders>
            <w:shd w:val="clear" w:color="auto" w:fill="auto"/>
            <w:vAlign w:val="bottom"/>
          </w:tcPr>
          <w:p w14:paraId="30C5FD8D" w14:textId="77777777" w:rsidR="00CB5153" w:rsidRPr="00350F72" w:rsidRDefault="00CB5153" w:rsidP="00CB5153">
            <w:pPr>
              <w:spacing w:after="0"/>
              <w:rPr>
                <w:rFonts w:ascii="Calibri" w:hAnsi="Calibri"/>
                <w:color w:val="000000"/>
                <w:sz w:val="20"/>
                <w:szCs w:val="20"/>
              </w:rPr>
            </w:pPr>
            <w:r w:rsidRPr="00350F72">
              <w:rPr>
                <w:rFonts w:ascii="Calibri" w:hAnsi="Calibri"/>
                <w:color w:val="000000"/>
                <w:sz w:val="20"/>
                <w:szCs w:val="20"/>
              </w:rPr>
              <w:t>-5.7</w:t>
            </w:r>
          </w:p>
        </w:tc>
      </w:tr>
    </w:tbl>
    <w:p w14:paraId="31813847" w14:textId="12201694" w:rsidR="00C01199" w:rsidRDefault="00E17C67" w:rsidP="00066F13">
      <w:pPr>
        <w:ind w:left="567" w:right="567"/>
        <w:rPr>
          <w:sz w:val="18"/>
        </w:rPr>
      </w:pPr>
      <w:bookmarkStart w:id="8" w:name="_Hlk41400732"/>
      <w:r w:rsidRPr="00400B80">
        <w:rPr>
          <w:sz w:val="18"/>
        </w:rPr>
        <w:t>Note</w:t>
      </w:r>
      <w:r w:rsidR="008678C6" w:rsidRPr="00400B80">
        <w:rPr>
          <w:sz w:val="18"/>
        </w:rPr>
        <w:t xml:space="preserve">: a small number of </w:t>
      </w:r>
      <w:r w:rsidR="00400B80">
        <w:rPr>
          <w:sz w:val="18"/>
        </w:rPr>
        <w:t>reports</w:t>
      </w:r>
      <w:r w:rsidR="008678C6" w:rsidRPr="00400B80">
        <w:rPr>
          <w:sz w:val="18"/>
        </w:rPr>
        <w:t xml:space="preserve"> have </w:t>
      </w:r>
      <w:r w:rsidR="00455BF3" w:rsidRPr="00400B80">
        <w:rPr>
          <w:sz w:val="18"/>
        </w:rPr>
        <w:t xml:space="preserve">‘unspecified’ </w:t>
      </w:r>
      <w:r w:rsidR="008678C6" w:rsidRPr="00400B80">
        <w:rPr>
          <w:sz w:val="18"/>
        </w:rPr>
        <w:t>ethnicity, meaning the sum of all ethnic groups may not equal the total population</w:t>
      </w:r>
      <w:r w:rsidR="00400B80">
        <w:rPr>
          <w:sz w:val="18"/>
        </w:rPr>
        <w:t>.</w:t>
      </w:r>
    </w:p>
    <w:p w14:paraId="134CC6C8" w14:textId="514D9597" w:rsidR="00400B80" w:rsidRDefault="00400B80" w:rsidP="00400B80">
      <w:pPr>
        <w:pStyle w:val="Caption"/>
        <w:keepNext/>
      </w:pPr>
      <w:bookmarkStart w:id="9" w:name="_Ref41411223"/>
      <w:r>
        <w:t xml:space="preserve">Figure </w:t>
      </w:r>
      <w:fldSimple w:instr=" SEQ Figure \* ARABIC ">
        <w:r w:rsidR="00CC108E">
          <w:rPr>
            <w:noProof/>
          </w:rPr>
          <w:t>1</w:t>
        </w:r>
      </w:fldSimple>
      <w:bookmarkEnd w:id="9"/>
      <w:r>
        <w:t xml:space="preserve">: </w:t>
      </w:r>
      <w:r w:rsidR="00066F13">
        <w:t>T</w:t>
      </w:r>
      <w:r w:rsidR="007F1C79">
        <w:t xml:space="preserve">otal </w:t>
      </w:r>
      <w:r w:rsidRPr="003C5697">
        <w:t xml:space="preserve">number of </w:t>
      </w:r>
      <w:r>
        <w:t xml:space="preserve">cancer </w:t>
      </w:r>
      <w:r w:rsidRPr="003C5697">
        <w:t xml:space="preserve">registrations by </w:t>
      </w:r>
      <w:r w:rsidR="008329F0">
        <w:t xml:space="preserve">month and year </w:t>
      </w:r>
      <w:r w:rsidRPr="003C5697">
        <w:t>(left), cumulative number of cancer registrations by year (right)</w:t>
      </w:r>
    </w:p>
    <w:p w14:paraId="740EE7C8" w14:textId="1A3F48B5" w:rsidR="00400B80" w:rsidRPr="00400B80" w:rsidRDefault="00400B80" w:rsidP="00400B80">
      <w:pPr>
        <w:rPr>
          <w:sz w:val="18"/>
        </w:rPr>
      </w:pPr>
      <w:r>
        <w:rPr>
          <w:noProof/>
        </w:rPr>
        <w:drawing>
          <wp:inline distT="0" distB="0" distL="0" distR="0" wp14:anchorId="61065EA0" wp14:editId="174419C4">
            <wp:extent cx="3188970" cy="2724150"/>
            <wp:effectExtent l="0" t="0" r="0" b="0"/>
            <wp:docPr id="12" name="Chart 1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301E63">
        <w:rPr>
          <w:noProof/>
          <w:sz w:val="16"/>
        </w:rPr>
        <w:drawing>
          <wp:inline distT="0" distB="0" distL="0" distR="0" wp14:anchorId="292F4D99" wp14:editId="330E08AE">
            <wp:extent cx="2976880" cy="2762250"/>
            <wp:effectExtent l="0" t="0" r="0" b="0"/>
            <wp:docPr id="14" name="Chart 14">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916C5D9" w14:textId="499DD361" w:rsidR="008329F0" w:rsidRDefault="00455BF3" w:rsidP="008329F0">
      <w:pPr>
        <w:pStyle w:val="Caption"/>
        <w:keepNext/>
      </w:pPr>
      <w:bookmarkStart w:id="10" w:name="_Ref41406351"/>
      <w:bookmarkEnd w:id="8"/>
      <w:r>
        <w:lastRenderedPageBreak/>
        <w:t xml:space="preserve">Figure </w:t>
      </w:r>
      <w:fldSimple w:instr=" SEQ Figure \* ARABIC ">
        <w:r w:rsidR="00CC108E">
          <w:rPr>
            <w:noProof/>
          </w:rPr>
          <w:t>2</w:t>
        </w:r>
      </w:fldSimple>
      <w:bookmarkEnd w:id="10"/>
      <w:r>
        <w:t xml:space="preserve">: </w:t>
      </w:r>
      <w:r w:rsidR="00A87412">
        <w:t>N</w:t>
      </w:r>
      <w:r w:rsidRPr="003D4F52">
        <w:t xml:space="preserve">umber of </w:t>
      </w:r>
      <w:r w:rsidR="008329F0">
        <w:t xml:space="preserve">cancer </w:t>
      </w:r>
      <w:r w:rsidRPr="003D4F52">
        <w:t xml:space="preserve">registrations </w:t>
      </w:r>
      <w:r>
        <w:t>by</w:t>
      </w:r>
      <w:r w:rsidR="008329F0">
        <w:t xml:space="preserve"> month and</w:t>
      </w:r>
      <w:r>
        <w:t xml:space="preserve"> year</w:t>
      </w:r>
      <w:r w:rsidR="008329F0">
        <w:t xml:space="preserve">, </w:t>
      </w:r>
      <w:r>
        <w:t>by ethnicity</w:t>
      </w:r>
      <w:r w:rsidR="003A2CC6">
        <w:rPr>
          <w:noProof/>
        </w:rPr>
        <w:drawing>
          <wp:inline distT="0" distB="0" distL="0" distR="0" wp14:anchorId="699CA0A0" wp14:editId="499D551E">
            <wp:extent cx="5939114" cy="3336877"/>
            <wp:effectExtent l="0" t="0" r="5080" b="0"/>
            <wp:docPr id="2" name="Picture 1">
              <a:extLst xmlns:a="http://schemas.openxmlformats.org/drawingml/2006/main">
                <a:ext uri="{FF2B5EF4-FFF2-40B4-BE49-F238E27FC236}">
                  <a16:creationId xmlns:a16="http://schemas.microsoft.com/office/drawing/2014/main" id="{C7828468-322C-4233-B8DA-846026EA81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7828468-322C-4233-B8DA-846026EA817E}"/>
                        </a:ext>
                      </a:extLst>
                    </pic:cNvPr>
                    <pic:cNvPicPr>
                      <a:picLocks noChangeAspect="1"/>
                    </pic:cNvPicPr>
                  </pic:nvPicPr>
                  <pic:blipFill>
                    <a:blip r:embed="rId13"/>
                    <a:stretch>
                      <a:fillRect/>
                    </a:stretch>
                  </pic:blipFill>
                  <pic:spPr>
                    <a:xfrm>
                      <a:off x="0" y="0"/>
                      <a:ext cx="5965930" cy="3351944"/>
                    </a:xfrm>
                    <a:prstGeom prst="rect">
                      <a:avLst/>
                    </a:prstGeom>
                  </pic:spPr>
                </pic:pic>
              </a:graphicData>
            </a:graphic>
          </wp:inline>
        </w:drawing>
      </w:r>
    </w:p>
    <w:p w14:paraId="5B519AE2" w14:textId="6896DA92" w:rsidR="00F35A5C" w:rsidRDefault="008329F0" w:rsidP="008329F0">
      <w:pPr>
        <w:pStyle w:val="Caption"/>
        <w:keepNext/>
      </w:pPr>
      <w:bookmarkStart w:id="11" w:name="_Ref41411205"/>
      <w:r>
        <w:t xml:space="preserve">Figure </w:t>
      </w:r>
      <w:fldSimple w:instr=" SEQ Figure \* ARABIC ">
        <w:r w:rsidR="00CC108E">
          <w:rPr>
            <w:noProof/>
          </w:rPr>
          <w:t>3</w:t>
        </w:r>
      </w:fldSimple>
      <w:bookmarkEnd w:id="11"/>
      <w:r>
        <w:t xml:space="preserve">: </w:t>
      </w:r>
      <w:r w:rsidR="00A87412">
        <w:t>C</w:t>
      </w:r>
      <w:r w:rsidRPr="004E39EC">
        <w:t>umulative number of cancer registrations by year</w:t>
      </w:r>
      <w:r>
        <w:t>, by ethnicity</w:t>
      </w:r>
      <w:r w:rsidR="003A2CC6">
        <w:rPr>
          <w:noProof/>
        </w:rPr>
        <w:drawing>
          <wp:inline distT="0" distB="0" distL="0" distR="0" wp14:anchorId="3011C6F1" wp14:editId="45F559D8">
            <wp:extent cx="6190401" cy="3405117"/>
            <wp:effectExtent l="0" t="0" r="1270" b="5080"/>
            <wp:docPr id="3" name="Picture 2">
              <a:extLst xmlns:a="http://schemas.openxmlformats.org/drawingml/2006/main">
                <a:ext uri="{FF2B5EF4-FFF2-40B4-BE49-F238E27FC236}">
                  <a16:creationId xmlns:a16="http://schemas.microsoft.com/office/drawing/2014/main" id="{A1297D10-47C1-45B3-AFD0-3361EAFC5A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1297D10-47C1-45B3-AFD0-3361EAFC5A65}"/>
                        </a:ext>
                      </a:extLst>
                    </pic:cNvPr>
                    <pic:cNvPicPr>
                      <a:picLocks noChangeAspect="1"/>
                    </pic:cNvPicPr>
                  </pic:nvPicPr>
                  <pic:blipFill>
                    <a:blip r:embed="rId14"/>
                    <a:stretch>
                      <a:fillRect/>
                    </a:stretch>
                  </pic:blipFill>
                  <pic:spPr>
                    <a:xfrm>
                      <a:off x="0" y="0"/>
                      <a:ext cx="6247689" cy="3436629"/>
                    </a:xfrm>
                    <a:prstGeom prst="rect">
                      <a:avLst/>
                    </a:prstGeom>
                  </pic:spPr>
                </pic:pic>
              </a:graphicData>
            </a:graphic>
          </wp:inline>
        </w:drawing>
      </w:r>
    </w:p>
    <w:p w14:paraId="0D736788" w14:textId="77777777" w:rsidR="008E3A50" w:rsidRPr="008E3A50" w:rsidRDefault="008E3A50" w:rsidP="008E3A50"/>
    <w:p w14:paraId="22D297FC" w14:textId="5F769C94" w:rsidR="00A14D45" w:rsidRDefault="00A87412" w:rsidP="00A14D45">
      <w:pPr>
        <w:tabs>
          <w:tab w:val="left" w:pos="3261"/>
        </w:tabs>
        <w:spacing w:before="120"/>
      </w:pPr>
      <w:r>
        <w:t xml:space="preserve">There was a decrease in cancer registrations across all </w:t>
      </w:r>
      <w:r w:rsidR="00D948EA">
        <w:t xml:space="preserve">major </w:t>
      </w:r>
      <w:r>
        <w:t>cancer groups in April 2020; however, this had a variable impact on the overall difference in registration</w:t>
      </w:r>
      <w:r w:rsidR="00D948EA">
        <w:t>s</w:t>
      </w:r>
      <w:r>
        <w:t xml:space="preserve"> for the year to date. </w:t>
      </w:r>
      <w:r w:rsidR="008E3A50">
        <w:fldChar w:fldCharType="begin"/>
      </w:r>
      <w:r w:rsidR="008E3A50">
        <w:instrText xml:space="preserve"> REF _Ref41408844 \h </w:instrText>
      </w:r>
      <w:r w:rsidR="008E3A50">
        <w:fldChar w:fldCharType="separate"/>
      </w:r>
      <w:r w:rsidR="00CC108E">
        <w:t xml:space="preserve">Table </w:t>
      </w:r>
      <w:r w:rsidR="00CC108E">
        <w:rPr>
          <w:noProof/>
        </w:rPr>
        <w:t>2</w:t>
      </w:r>
      <w:r w:rsidR="008E3A50">
        <w:fldChar w:fldCharType="end"/>
      </w:r>
      <w:r w:rsidR="008E3A50">
        <w:t xml:space="preserve"> shows the change in cancer registrations in 2020 compared to 2019 by cancer group</w:t>
      </w:r>
      <w:r>
        <w:t>, for cancers with over 1000 registrations per year. This is presented as number of registrations by month (</w:t>
      </w:r>
      <w:r>
        <w:fldChar w:fldCharType="begin"/>
      </w:r>
      <w:r>
        <w:instrText xml:space="preserve"> REF _Ref41411881 \h </w:instrText>
      </w:r>
      <w:r>
        <w:fldChar w:fldCharType="separate"/>
      </w:r>
      <w:r w:rsidR="00CC108E">
        <w:t xml:space="preserve">Figure </w:t>
      </w:r>
      <w:r w:rsidR="00CC108E">
        <w:rPr>
          <w:noProof/>
        </w:rPr>
        <w:t>4</w:t>
      </w:r>
      <w:r>
        <w:fldChar w:fldCharType="end"/>
      </w:r>
      <w:r>
        <w:t>) and cumulative number of registrations</w:t>
      </w:r>
      <w:r w:rsidR="00D948EA">
        <w:t xml:space="preserve"> by year</w:t>
      </w:r>
      <w:r>
        <w:t xml:space="preserve"> (</w:t>
      </w:r>
      <w:r>
        <w:fldChar w:fldCharType="begin"/>
      </w:r>
      <w:r>
        <w:instrText xml:space="preserve"> REF _Ref41253294 \h </w:instrText>
      </w:r>
      <w:r>
        <w:fldChar w:fldCharType="separate"/>
      </w:r>
      <w:r w:rsidR="00CC108E">
        <w:t xml:space="preserve">Figure </w:t>
      </w:r>
      <w:r w:rsidR="00CC108E">
        <w:rPr>
          <w:noProof/>
        </w:rPr>
        <w:t>5</w:t>
      </w:r>
      <w:r>
        <w:fldChar w:fldCharType="end"/>
      </w:r>
      <w:r>
        <w:t>)</w:t>
      </w:r>
      <w:r w:rsidR="00D948EA">
        <w:t>.</w:t>
      </w:r>
    </w:p>
    <w:p w14:paraId="6310898B" w14:textId="2B2418A7" w:rsidR="00FE3795" w:rsidRDefault="00FE3795" w:rsidP="00A14D45">
      <w:pPr>
        <w:tabs>
          <w:tab w:val="left" w:pos="3261"/>
        </w:tabs>
      </w:pPr>
    </w:p>
    <w:p w14:paraId="4CDFCF94" w14:textId="0369CD16" w:rsidR="008E3A50" w:rsidRDefault="008E3A50" w:rsidP="008E3A50">
      <w:pPr>
        <w:pStyle w:val="Caption"/>
        <w:keepNext/>
      </w:pPr>
      <w:bookmarkStart w:id="12" w:name="_Ref41408844"/>
      <w:r>
        <w:lastRenderedPageBreak/>
        <w:t xml:space="preserve">Table </w:t>
      </w:r>
      <w:fldSimple w:instr=" SEQ Table \* ARABIC ">
        <w:r w:rsidR="00CC108E">
          <w:rPr>
            <w:noProof/>
          </w:rPr>
          <w:t>2</w:t>
        </w:r>
      </w:fldSimple>
      <w:bookmarkEnd w:id="12"/>
      <w:r>
        <w:t xml:space="preserve">: </w:t>
      </w:r>
      <w:r w:rsidR="00A87412">
        <w:t>C</w:t>
      </w:r>
      <w:r w:rsidRPr="00401D01">
        <w:t>hanges in cancer registration in 2020 compared to 2019</w:t>
      </w:r>
      <w:r w:rsidR="00E666E4">
        <w:t xml:space="preserve"> by month and</w:t>
      </w:r>
      <w:r w:rsidRPr="00401D01">
        <w:t xml:space="preserve"> for the year to date, absolute difference in number of cases and percentage change, by cancer group.</w:t>
      </w:r>
    </w:p>
    <w:tbl>
      <w:tblPr>
        <w:tblW w:w="9154" w:type="dxa"/>
        <w:jc w:val="center"/>
        <w:tblLook w:val="04A0" w:firstRow="1" w:lastRow="0" w:firstColumn="1" w:lastColumn="0" w:noHBand="0" w:noVBand="1"/>
      </w:tblPr>
      <w:tblGrid>
        <w:gridCol w:w="3828"/>
        <w:gridCol w:w="897"/>
        <w:gridCol w:w="846"/>
        <w:gridCol w:w="982"/>
        <w:gridCol w:w="867"/>
        <w:gridCol w:w="956"/>
        <w:gridCol w:w="778"/>
      </w:tblGrid>
      <w:tr w:rsidR="00FE3795" w:rsidRPr="00A1769A" w14:paraId="19ED1A62" w14:textId="77777777" w:rsidTr="00D948EA">
        <w:trPr>
          <w:cantSplit/>
          <w:trHeight w:val="253"/>
          <w:jc w:val="center"/>
        </w:trPr>
        <w:tc>
          <w:tcPr>
            <w:tcW w:w="3828" w:type="dxa"/>
            <w:tcBorders>
              <w:bottom w:val="single" w:sz="4" w:space="0" w:color="auto"/>
              <w:right w:val="single" w:sz="4" w:space="0" w:color="auto"/>
            </w:tcBorders>
            <w:shd w:val="clear" w:color="auto" w:fill="auto"/>
            <w:noWrap/>
            <w:vAlign w:val="bottom"/>
          </w:tcPr>
          <w:p w14:paraId="0C7979EF" w14:textId="77777777" w:rsidR="00FE3795" w:rsidRPr="00A1769A" w:rsidRDefault="00FE3795" w:rsidP="00FE3795">
            <w:pPr>
              <w:keepNext/>
              <w:keepLines/>
              <w:spacing w:after="0" w:line="240" w:lineRule="auto"/>
              <w:jc w:val="right"/>
              <w:rPr>
                <w:rFonts w:ascii="Calibri" w:eastAsia="Times New Roman" w:hAnsi="Calibri" w:cs="Times New Roman"/>
                <w:b/>
                <w:color w:val="000000"/>
                <w:lang w:eastAsia="en-NZ"/>
              </w:rPr>
            </w:pPr>
          </w:p>
        </w:tc>
        <w:tc>
          <w:tcPr>
            <w:tcW w:w="1701" w:type="dxa"/>
            <w:gridSpan w:val="2"/>
            <w:tcBorders>
              <w:left w:val="single" w:sz="4" w:space="0" w:color="auto"/>
              <w:bottom w:val="single" w:sz="4" w:space="0" w:color="auto"/>
              <w:right w:val="single" w:sz="4" w:space="0" w:color="auto"/>
            </w:tcBorders>
            <w:shd w:val="clear" w:color="auto" w:fill="auto"/>
            <w:noWrap/>
            <w:vAlign w:val="bottom"/>
          </w:tcPr>
          <w:p w14:paraId="2B477089" w14:textId="77777777" w:rsidR="00FE3795" w:rsidRPr="008E3A50" w:rsidRDefault="00FE3795" w:rsidP="00FE3795">
            <w:pPr>
              <w:keepNext/>
              <w:keepLines/>
              <w:spacing w:after="0" w:line="240" w:lineRule="auto"/>
              <w:jc w:val="center"/>
              <w:rPr>
                <w:rFonts w:ascii="Calibri" w:eastAsia="Times New Roman" w:hAnsi="Calibri" w:cs="Times New Roman"/>
                <w:b/>
                <w:color w:val="000000"/>
                <w:sz w:val="18"/>
                <w:lang w:eastAsia="en-NZ"/>
              </w:rPr>
            </w:pPr>
            <w:r w:rsidRPr="008E3A50">
              <w:rPr>
                <w:rFonts w:ascii="Calibri" w:eastAsia="Times New Roman" w:hAnsi="Calibri" w:cs="Times New Roman"/>
                <w:b/>
                <w:color w:val="000000"/>
                <w:sz w:val="18"/>
                <w:lang w:eastAsia="en-NZ"/>
              </w:rPr>
              <w:t>March 2020</w:t>
            </w:r>
          </w:p>
        </w:tc>
        <w:tc>
          <w:tcPr>
            <w:tcW w:w="1859" w:type="dxa"/>
            <w:gridSpan w:val="2"/>
            <w:tcBorders>
              <w:left w:val="single" w:sz="4" w:space="0" w:color="auto"/>
              <w:bottom w:val="single" w:sz="4" w:space="0" w:color="auto"/>
              <w:right w:val="single" w:sz="18" w:space="0" w:color="auto"/>
            </w:tcBorders>
            <w:vAlign w:val="bottom"/>
          </w:tcPr>
          <w:p w14:paraId="6EB4FFC6" w14:textId="77777777" w:rsidR="00FE3795" w:rsidRPr="008E3A50" w:rsidRDefault="00FE3795" w:rsidP="00FE3795">
            <w:pPr>
              <w:keepNext/>
              <w:keepLines/>
              <w:spacing w:after="0" w:line="240" w:lineRule="auto"/>
              <w:jc w:val="center"/>
              <w:rPr>
                <w:rFonts w:ascii="Calibri" w:eastAsia="Times New Roman" w:hAnsi="Calibri" w:cs="Times New Roman"/>
                <w:b/>
                <w:color w:val="000000"/>
                <w:sz w:val="18"/>
                <w:lang w:eastAsia="en-NZ"/>
              </w:rPr>
            </w:pPr>
            <w:r w:rsidRPr="008E3A50">
              <w:rPr>
                <w:rFonts w:ascii="Calibri" w:eastAsia="Times New Roman" w:hAnsi="Calibri" w:cs="Times New Roman"/>
                <w:b/>
                <w:color w:val="000000"/>
                <w:sz w:val="18"/>
                <w:lang w:eastAsia="en-NZ"/>
              </w:rPr>
              <w:t>April 2020</w:t>
            </w:r>
          </w:p>
        </w:tc>
        <w:tc>
          <w:tcPr>
            <w:tcW w:w="1766" w:type="dxa"/>
            <w:gridSpan w:val="2"/>
            <w:tcBorders>
              <w:left w:val="single" w:sz="18" w:space="0" w:color="auto"/>
              <w:bottom w:val="single" w:sz="4" w:space="0" w:color="auto"/>
            </w:tcBorders>
          </w:tcPr>
          <w:p w14:paraId="30C53E20" w14:textId="77777777" w:rsidR="00FE3795" w:rsidRPr="008E3A50" w:rsidRDefault="00FE3795" w:rsidP="00FE3795">
            <w:pPr>
              <w:keepNext/>
              <w:keepLines/>
              <w:spacing w:after="0" w:line="240" w:lineRule="auto"/>
              <w:jc w:val="center"/>
              <w:rPr>
                <w:rFonts w:ascii="Calibri" w:eastAsia="Times New Roman" w:hAnsi="Calibri" w:cs="Times New Roman"/>
                <w:b/>
                <w:color w:val="000000"/>
                <w:sz w:val="18"/>
                <w:lang w:eastAsia="en-NZ"/>
              </w:rPr>
            </w:pPr>
            <w:r w:rsidRPr="008E3A50">
              <w:rPr>
                <w:rFonts w:ascii="Calibri" w:eastAsia="Times New Roman" w:hAnsi="Calibri" w:cs="Times New Roman"/>
                <w:b/>
                <w:color w:val="000000"/>
                <w:sz w:val="18"/>
                <w:lang w:eastAsia="en-NZ"/>
              </w:rPr>
              <w:t>Year to date</w:t>
            </w:r>
          </w:p>
        </w:tc>
      </w:tr>
      <w:tr w:rsidR="008E3A50" w:rsidRPr="00A1769A" w14:paraId="2B81D85C" w14:textId="77777777" w:rsidTr="00D948EA">
        <w:trPr>
          <w:cantSplit/>
          <w:trHeight w:val="74"/>
          <w:jc w:val="center"/>
        </w:trPr>
        <w:tc>
          <w:tcPr>
            <w:tcW w:w="3828" w:type="dxa"/>
            <w:tcBorders>
              <w:top w:val="single" w:sz="4" w:space="0" w:color="auto"/>
              <w:bottom w:val="single" w:sz="4" w:space="0" w:color="auto"/>
              <w:right w:val="single" w:sz="4" w:space="0" w:color="auto"/>
            </w:tcBorders>
            <w:shd w:val="clear" w:color="auto" w:fill="auto"/>
            <w:noWrap/>
            <w:vAlign w:val="bottom"/>
          </w:tcPr>
          <w:p w14:paraId="3819E364" w14:textId="77777777" w:rsidR="00FE3795" w:rsidRPr="00D948EA" w:rsidRDefault="00FE3795" w:rsidP="00FE3795">
            <w:pPr>
              <w:keepNext/>
              <w:keepLines/>
              <w:spacing w:after="0" w:line="240" w:lineRule="auto"/>
              <w:jc w:val="right"/>
              <w:rPr>
                <w:rFonts w:eastAsia="Times New Roman" w:cs="Times New Roman"/>
                <w:b/>
                <w:color w:val="000000"/>
                <w:sz w:val="20"/>
                <w:szCs w:val="20"/>
                <w:lang w:eastAsia="en-NZ"/>
              </w:rPr>
            </w:pPr>
            <w:r w:rsidRPr="00D948EA">
              <w:rPr>
                <w:rFonts w:eastAsia="Times New Roman" w:cs="Times New Roman"/>
                <w:b/>
                <w:color w:val="000000"/>
                <w:sz w:val="20"/>
                <w:szCs w:val="20"/>
                <w:lang w:eastAsia="en-NZ"/>
              </w:rPr>
              <w:t>Cancer Group</w:t>
            </w:r>
          </w:p>
        </w:tc>
        <w:tc>
          <w:tcPr>
            <w:tcW w:w="850" w:type="dxa"/>
            <w:tcBorders>
              <w:left w:val="single" w:sz="4" w:space="0" w:color="auto"/>
              <w:bottom w:val="single" w:sz="4" w:space="0" w:color="auto"/>
              <w:right w:val="single" w:sz="4" w:space="0" w:color="auto"/>
            </w:tcBorders>
            <w:shd w:val="clear" w:color="auto" w:fill="auto"/>
            <w:noWrap/>
            <w:vAlign w:val="bottom"/>
          </w:tcPr>
          <w:p w14:paraId="5435393C" w14:textId="77777777" w:rsidR="00FE3795" w:rsidRPr="00D948EA" w:rsidRDefault="00FE3795" w:rsidP="00FE3795">
            <w:pPr>
              <w:keepNext/>
              <w:keepLines/>
              <w:spacing w:after="0" w:line="240" w:lineRule="auto"/>
              <w:jc w:val="right"/>
              <w:rPr>
                <w:rFonts w:eastAsia="Times New Roman" w:cs="Times New Roman"/>
                <w:b/>
                <w:color w:val="000000"/>
                <w:sz w:val="20"/>
                <w:szCs w:val="20"/>
                <w:lang w:eastAsia="en-NZ"/>
              </w:rPr>
            </w:pPr>
            <w:r w:rsidRPr="00D948EA">
              <w:rPr>
                <w:rFonts w:eastAsia="Times New Roman" w:cs="Times New Roman"/>
                <w:b/>
                <w:color w:val="000000"/>
                <w:sz w:val="20"/>
                <w:szCs w:val="20"/>
                <w:lang w:eastAsia="en-NZ"/>
              </w:rPr>
              <w:t>Number</w:t>
            </w:r>
          </w:p>
        </w:tc>
        <w:tc>
          <w:tcPr>
            <w:tcW w:w="851" w:type="dxa"/>
            <w:tcBorders>
              <w:left w:val="single" w:sz="4" w:space="0" w:color="auto"/>
              <w:bottom w:val="single" w:sz="4" w:space="0" w:color="auto"/>
              <w:right w:val="single" w:sz="4" w:space="0" w:color="auto"/>
            </w:tcBorders>
            <w:vAlign w:val="bottom"/>
          </w:tcPr>
          <w:p w14:paraId="18E19EB2" w14:textId="77777777" w:rsidR="00FE3795" w:rsidRPr="00D948EA" w:rsidRDefault="00FE3795" w:rsidP="00FE3795">
            <w:pPr>
              <w:keepNext/>
              <w:keepLines/>
              <w:spacing w:after="0" w:line="240" w:lineRule="auto"/>
              <w:rPr>
                <w:rFonts w:eastAsia="Times New Roman" w:cs="Times New Roman"/>
                <w:b/>
                <w:color w:val="000000"/>
                <w:sz w:val="20"/>
                <w:szCs w:val="20"/>
                <w:lang w:eastAsia="en-NZ"/>
              </w:rPr>
            </w:pPr>
            <w:r w:rsidRPr="00D948EA">
              <w:rPr>
                <w:rFonts w:eastAsia="Times New Roman" w:cs="Times New Roman"/>
                <w:b/>
                <w:color w:val="000000"/>
                <w:sz w:val="20"/>
                <w:szCs w:val="20"/>
                <w:lang w:eastAsia="en-NZ"/>
              </w:rPr>
              <w:t xml:space="preserve">% </w:t>
            </w:r>
          </w:p>
        </w:tc>
        <w:tc>
          <w:tcPr>
            <w:tcW w:w="992" w:type="dxa"/>
            <w:tcBorders>
              <w:left w:val="single" w:sz="4" w:space="0" w:color="auto"/>
              <w:bottom w:val="single" w:sz="4" w:space="0" w:color="auto"/>
              <w:right w:val="single" w:sz="4" w:space="0" w:color="auto"/>
            </w:tcBorders>
            <w:vAlign w:val="bottom"/>
          </w:tcPr>
          <w:p w14:paraId="2291DBB9" w14:textId="77777777" w:rsidR="00FE3795" w:rsidRPr="00D948EA" w:rsidRDefault="00FE3795" w:rsidP="00FE3795">
            <w:pPr>
              <w:keepNext/>
              <w:keepLines/>
              <w:spacing w:after="0" w:line="240" w:lineRule="auto"/>
              <w:jc w:val="right"/>
              <w:rPr>
                <w:rFonts w:eastAsia="Times New Roman" w:cs="Times New Roman"/>
                <w:b/>
                <w:color w:val="000000"/>
                <w:sz w:val="20"/>
                <w:szCs w:val="20"/>
                <w:lang w:eastAsia="en-NZ"/>
              </w:rPr>
            </w:pPr>
            <w:r w:rsidRPr="00D948EA">
              <w:rPr>
                <w:rFonts w:eastAsia="Times New Roman" w:cs="Times New Roman"/>
                <w:b/>
                <w:color w:val="000000"/>
                <w:sz w:val="20"/>
                <w:szCs w:val="20"/>
                <w:lang w:eastAsia="en-NZ"/>
              </w:rPr>
              <w:t>Number</w:t>
            </w:r>
          </w:p>
        </w:tc>
        <w:tc>
          <w:tcPr>
            <w:tcW w:w="867" w:type="dxa"/>
            <w:tcBorders>
              <w:left w:val="single" w:sz="4" w:space="0" w:color="auto"/>
              <w:bottom w:val="single" w:sz="4" w:space="0" w:color="auto"/>
              <w:right w:val="single" w:sz="18" w:space="0" w:color="auto"/>
            </w:tcBorders>
            <w:shd w:val="clear" w:color="auto" w:fill="auto"/>
            <w:noWrap/>
            <w:vAlign w:val="bottom"/>
          </w:tcPr>
          <w:p w14:paraId="50A6FF81" w14:textId="77777777" w:rsidR="00FE3795" w:rsidRPr="00D948EA" w:rsidRDefault="00FE3795" w:rsidP="00FE3795">
            <w:pPr>
              <w:keepNext/>
              <w:keepLines/>
              <w:spacing w:after="0" w:line="240" w:lineRule="auto"/>
              <w:rPr>
                <w:rFonts w:eastAsia="Times New Roman" w:cs="Times New Roman"/>
                <w:b/>
                <w:color w:val="000000"/>
                <w:sz w:val="20"/>
                <w:szCs w:val="20"/>
                <w:lang w:eastAsia="en-NZ"/>
              </w:rPr>
            </w:pPr>
            <w:r w:rsidRPr="00D948EA">
              <w:rPr>
                <w:rFonts w:eastAsia="Times New Roman" w:cs="Times New Roman"/>
                <w:b/>
                <w:color w:val="000000"/>
                <w:sz w:val="20"/>
                <w:szCs w:val="20"/>
                <w:lang w:eastAsia="en-NZ"/>
              </w:rPr>
              <w:t xml:space="preserve">% </w:t>
            </w:r>
          </w:p>
        </w:tc>
        <w:tc>
          <w:tcPr>
            <w:tcW w:w="963" w:type="dxa"/>
            <w:tcBorders>
              <w:left w:val="single" w:sz="18" w:space="0" w:color="auto"/>
              <w:bottom w:val="single" w:sz="4" w:space="0" w:color="auto"/>
              <w:right w:val="single" w:sz="4" w:space="0" w:color="auto"/>
            </w:tcBorders>
          </w:tcPr>
          <w:p w14:paraId="31A4D3A7" w14:textId="77777777" w:rsidR="00FE3795" w:rsidRPr="00D948EA" w:rsidRDefault="00FE3795" w:rsidP="00FE3795">
            <w:pPr>
              <w:keepNext/>
              <w:keepLines/>
              <w:spacing w:after="0" w:line="240" w:lineRule="auto"/>
              <w:jc w:val="right"/>
              <w:rPr>
                <w:rFonts w:eastAsia="Times New Roman" w:cs="Times New Roman"/>
                <w:b/>
                <w:color w:val="000000"/>
                <w:sz w:val="20"/>
                <w:szCs w:val="20"/>
                <w:lang w:eastAsia="en-NZ"/>
              </w:rPr>
            </w:pPr>
            <w:r w:rsidRPr="00D948EA">
              <w:rPr>
                <w:rFonts w:eastAsia="Times New Roman" w:cs="Times New Roman"/>
                <w:b/>
                <w:color w:val="000000"/>
                <w:sz w:val="20"/>
                <w:szCs w:val="20"/>
                <w:lang w:eastAsia="en-NZ"/>
              </w:rPr>
              <w:t>Number</w:t>
            </w:r>
          </w:p>
        </w:tc>
        <w:tc>
          <w:tcPr>
            <w:tcW w:w="803" w:type="dxa"/>
            <w:tcBorders>
              <w:left w:val="single" w:sz="4" w:space="0" w:color="auto"/>
              <w:bottom w:val="single" w:sz="4" w:space="0" w:color="auto"/>
            </w:tcBorders>
            <w:vAlign w:val="bottom"/>
          </w:tcPr>
          <w:p w14:paraId="1B5874B4" w14:textId="77777777" w:rsidR="00FE3795" w:rsidRPr="00D948EA" w:rsidRDefault="00FE3795" w:rsidP="00FE3795">
            <w:pPr>
              <w:keepNext/>
              <w:keepLines/>
              <w:spacing w:after="0" w:line="240" w:lineRule="auto"/>
              <w:rPr>
                <w:rFonts w:eastAsia="Times New Roman" w:cs="Times New Roman"/>
                <w:b/>
                <w:color w:val="000000"/>
                <w:sz w:val="20"/>
                <w:szCs w:val="20"/>
                <w:lang w:eastAsia="en-NZ"/>
              </w:rPr>
            </w:pPr>
            <w:r w:rsidRPr="00D948EA">
              <w:rPr>
                <w:rFonts w:eastAsia="Times New Roman" w:cs="Times New Roman"/>
                <w:b/>
                <w:color w:val="000000"/>
                <w:sz w:val="20"/>
                <w:szCs w:val="20"/>
                <w:lang w:eastAsia="en-NZ"/>
              </w:rPr>
              <w:t xml:space="preserve">% </w:t>
            </w:r>
          </w:p>
        </w:tc>
      </w:tr>
      <w:tr w:rsidR="008E3A50" w:rsidRPr="00A1769A" w14:paraId="59AE8407" w14:textId="77777777" w:rsidTr="00D948EA">
        <w:trPr>
          <w:cantSplit/>
          <w:trHeight w:val="249"/>
          <w:jc w:val="center"/>
        </w:trPr>
        <w:tc>
          <w:tcPr>
            <w:tcW w:w="3828" w:type="dxa"/>
            <w:tcBorders>
              <w:top w:val="nil"/>
              <w:left w:val="nil"/>
              <w:bottom w:val="nil"/>
              <w:right w:val="single" w:sz="4" w:space="0" w:color="auto"/>
            </w:tcBorders>
            <w:shd w:val="clear" w:color="auto" w:fill="auto"/>
            <w:noWrap/>
            <w:vAlign w:val="bottom"/>
          </w:tcPr>
          <w:p w14:paraId="2F561964" w14:textId="77777777" w:rsidR="00FE3795" w:rsidRPr="00D948EA" w:rsidRDefault="00FE3795" w:rsidP="00FE3795">
            <w:pPr>
              <w:keepNext/>
              <w:keepLines/>
              <w:spacing w:after="0" w:line="240" w:lineRule="auto"/>
              <w:jc w:val="right"/>
              <w:rPr>
                <w:rFonts w:eastAsia="Times New Roman" w:cs="Times New Roman"/>
                <w:color w:val="000000"/>
                <w:sz w:val="20"/>
                <w:szCs w:val="20"/>
                <w:lang w:eastAsia="en-NZ"/>
              </w:rPr>
            </w:pPr>
            <w:r w:rsidRPr="00D948EA">
              <w:rPr>
                <w:color w:val="000000"/>
                <w:sz w:val="20"/>
                <w:szCs w:val="20"/>
              </w:rPr>
              <w:t>Prostate</w:t>
            </w:r>
          </w:p>
        </w:tc>
        <w:tc>
          <w:tcPr>
            <w:tcW w:w="850" w:type="dxa"/>
            <w:tcBorders>
              <w:top w:val="single" w:sz="4" w:space="0" w:color="auto"/>
              <w:left w:val="single" w:sz="4" w:space="0" w:color="auto"/>
              <w:bottom w:val="nil"/>
              <w:right w:val="single" w:sz="4" w:space="0" w:color="auto"/>
            </w:tcBorders>
            <w:shd w:val="clear" w:color="auto" w:fill="auto"/>
            <w:noWrap/>
            <w:vAlign w:val="bottom"/>
          </w:tcPr>
          <w:p w14:paraId="1518CE3F" w14:textId="77777777" w:rsidR="00FE3795" w:rsidRPr="00D948EA" w:rsidRDefault="00FE3795" w:rsidP="00FE3795">
            <w:pPr>
              <w:keepNext/>
              <w:keepLines/>
              <w:spacing w:after="0" w:line="240" w:lineRule="auto"/>
              <w:jc w:val="right"/>
              <w:rPr>
                <w:rFonts w:eastAsia="Times New Roman" w:cs="Times New Roman"/>
                <w:color w:val="000000"/>
                <w:sz w:val="20"/>
                <w:szCs w:val="20"/>
                <w:lang w:eastAsia="en-NZ"/>
              </w:rPr>
            </w:pPr>
            <w:r w:rsidRPr="00D948EA">
              <w:rPr>
                <w:bCs/>
                <w:color w:val="000000"/>
                <w:sz w:val="20"/>
                <w:szCs w:val="20"/>
              </w:rPr>
              <w:t>-105</w:t>
            </w:r>
          </w:p>
        </w:tc>
        <w:tc>
          <w:tcPr>
            <w:tcW w:w="851" w:type="dxa"/>
            <w:tcBorders>
              <w:top w:val="single" w:sz="4" w:space="0" w:color="auto"/>
              <w:left w:val="single" w:sz="4" w:space="0" w:color="auto"/>
              <w:bottom w:val="nil"/>
              <w:right w:val="single" w:sz="4" w:space="0" w:color="auto"/>
            </w:tcBorders>
            <w:shd w:val="clear" w:color="auto" w:fill="auto"/>
            <w:vAlign w:val="bottom"/>
          </w:tcPr>
          <w:p w14:paraId="73AD1436" w14:textId="77777777" w:rsidR="00FE3795" w:rsidRPr="00D948EA" w:rsidRDefault="00FE3795" w:rsidP="00FE3795">
            <w:pPr>
              <w:keepNext/>
              <w:keepLines/>
              <w:spacing w:after="0" w:line="240" w:lineRule="auto"/>
              <w:rPr>
                <w:color w:val="000000"/>
                <w:sz w:val="20"/>
                <w:szCs w:val="20"/>
              </w:rPr>
            </w:pPr>
            <w:r w:rsidRPr="00D948EA">
              <w:rPr>
                <w:bCs/>
                <w:color w:val="000000"/>
                <w:sz w:val="20"/>
                <w:szCs w:val="20"/>
              </w:rPr>
              <w:t>-32</w:t>
            </w:r>
          </w:p>
        </w:tc>
        <w:tc>
          <w:tcPr>
            <w:tcW w:w="992" w:type="dxa"/>
            <w:tcBorders>
              <w:top w:val="nil"/>
              <w:left w:val="single" w:sz="4" w:space="0" w:color="auto"/>
              <w:bottom w:val="nil"/>
              <w:right w:val="single" w:sz="4" w:space="0" w:color="auto"/>
            </w:tcBorders>
            <w:shd w:val="clear" w:color="auto" w:fill="auto"/>
            <w:vAlign w:val="bottom"/>
          </w:tcPr>
          <w:p w14:paraId="51ED46D7" w14:textId="77777777" w:rsidR="00FE3795" w:rsidRPr="00D948EA" w:rsidRDefault="00FE3795" w:rsidP="00FE3795">
            <w:pPr>
              <w:keepNext/>
              <w:keepLines/>
              <w:spacing w:after="0" w:line="240" w:lineRule="auto"/>
              <w:jc w:val="right"/>
              <w:rPr>
                <w:color w:val="000000"/>
                <w:sz w:val="20"/>
                <w:szCs w:val="20"/>
              </w:rPr>
            </w:pPr>
            <w:r w:rsidRPr="00D948EA">
              <w:rPr>
                <w:color w:val="000000"/>
                <w:sz w:val="20"/>
                <w:szCs w:val="20"/>
              </w:rPr>
              <w:t>-169</w:t>
            </w:r>
          </w:p>
        </w:tc>
        <w:tc>
          <w:tcPr>
            <w:tcW w:w="867" w:type="dxa"/>
            <w:tcBorders>
              <w:top w:val="single" w:sz="4" w:space="0" w:color="auto"/>
              <w:left w:val="single" w:sz="4" w:space="0" w:color="auto"/>
              <w:bottom w:val="nil"/>
              <w:right w:val="single" w:sz="18" w:space="0" w:color="auto"/>
            </w:tcBorders>
            <w:shd w:val="clear" w:color="auto" w:fill="auto"/>
            <w:noWrap/>
            <w:vAlign w:val="bottom"/>
          </w:tcPr>
          <w:p w14:paraId="16C37D40" w14:textId="77777777" w:rsidR="00FE3795" w:rsidRPr="00D948EA" w:rsidRDefault="00FE3795" w:rsidP="00FE3795">
            <w:pPr>
              <w:keepNext/>
              <w:keepLines/>
              <w:spacing w:after="0" w:line="240" w:lineRule="auto"/>
              <w:rPr>
                <w:rFonts w:eastAsia="Times New Roman" w:cs="Times New Roman"/>
                <w:color w:val="000000"/>
                <w:sz w:val="20"/>
                <w:szCs w:val="20"/>
                <w:lang w:eastAsia="en-NZ"/>
              </w:rPr>
            </w:pPr>
            <w:r w:rsidRPr="00D948EA">
              <w:rPr>
                <w:color w:val="000000"/>
                <w:sz w:val="20"/>
                <w:szCs w:val="20"/>
              </w:rPr>
              <w:t>-64.8</w:t>
            </w:r>
          </w:p>
        </w:tc>
        <w:tc>
          <w:tcPr>
            <w:tcW w:w="963" w:type="dxa"/>
            <w:tcBorders>
              <w:top w:val="single" w:sz="4" w:space="0" w:color="auto"/>
              <w:left w:val="single" w:sz="18" w:space="0" w:color="auto"/>
              <w:bottom w:val="nil"/>
              <w:right w:val="single" w:sz="4" w:space="0" w:color="auto"/>
            </w:tcBorders>
            <w:shd w:val="clear" w:color="auto" w:fill="auto"/>
            <w:vAlign w:val="bottom"/>
          </w:tcPr>
          <w:p w14:paraId="64A8BD3D" w14:textId="77777777" w:rsidR="00FE3795" w:rsidRPr="00D948EA" w:rsidRDefault="00FE3795" w:rsidP="00FE3795">
            <w:pPr>
              <w:keepNext/>
              <w:keepLines/>
              <w:spacing w:after="0" w:line="240" w:lineRule="auto"/>
              <w:jc w:val="right"/>
              <w:rPr>
                <w:color w:val="000000"/>
                <w:sz w:val="20"/>
                <w:szCs w:val="20"/>
              </w:rPr>
            </w:pPr>
            <w:r w:rsidRPr="00D948EA">
              <w:rPr>
                <w:color w:val="000000"/>
                <w:sz w:val="20"/>
                <w:szCs w:val="20"/>
              </w:rPr>
              <w:t>-241</w:t>
            </w:r>
          </w:p>
        </w:tc>
        <w:tc>
          <w:tcPr>
            <w:tcW w:w="803" w:type="dxa"/>
            <w:tcBorders>
              <w:top w:val="nil"/>
              <w:left w:val="single" w:sz="4" w:space="0" w:color="auto"/>
              <w:bottom w:val="nil"/>
              <w:right w:val="nil"/>
            </w:tcBorders>
            <w:shd w:val="clear" w:color="auto" w:fill="auto"/>
            <w:vAlign w:val="bottom"/>
          </w:tcPr>
          <w:p w14:paraId="3870C7D2" w14:textId="77777777" w:rsidR="00FE3795" w:rsidRPr="00D948EA" w:rsidRDefault="00FE3795" w:rsidP="00FE3795">
            <w:pPr>
              <w:keepNext/>
              <w:keepLines/>
              <w:spacing w:after="0" w:line="240" w:lineRule="auto"/>
              <w:rPr>
                <w:color w:val="000000"/>
                <w:sz w:val="20"/>
                <w:szCs w:val="20"/>
              </w:rPr>
            </w:pPr>
            <w:r w:rsidRPr="00D948EA">
              <w:rPr>
                <w:color w:val="000000"/>
                <w:sz w:val="20"/>
                <w:szCs w:val="20"/>
              </w:rPr>
              <w:t>-21.8</w:t>
            </w:r>
          </w:p>
        </w:tc>
      </w:tr>
      <w:tr w:rsidR="008E3A50" w:rsidRPr="00A1769A" w14:paraId="6757B7E7" w14:textId="77777777" w:rsidTr="00D948EA">
        <w:trPr>
          <w:cantSplit/>
          <w:trHeight w:val="249"/>
          <w:jc w:val="center"/>
        </w:trPr>
        <w:tc>
          <w:tcPr>
            <w:tcW w:w="3828" w:type="dxa"/>
            <w:tcBorders>
              <w:top w:val="nil"/>
              <w:left w:val="nil"/>
              <w:bottom w:val="nil"/>
              <w:right w:val="single" w:sz="4" w:space="0" w:color="auto"/>
            </w:tcBorders>
            <w:shd w:val="clear" w:color="auto" w:fill="auto"/>
            <w:noWrap/>
            <w:vAlign w:val="bottom"/>
          </w:tcPr>
          <w:p w14:paraId="170BD7FD" w14:textId="77777777" w:rsidR="00FE3795" w:rsidRPr="00D948EA" w:rsidRDefault="00FE3795" w:rsidP="00FE3795">
            <w:pPr>
              <w:keepNext/>
              <w:keepLines/>
              <w:spacing w:after="0" w:line="240" w:lineRule="auto"/>
              <w:jc w:val="right"/>
              <w:rPr>
                <w:rFonts w:eastAsia="Times New Roman" w:cs="Times New Roman"/>
                <w:color w:val="000000"/>
                <w:sz w:val="20"/>
                <w:szCs w:val="20"/>
                <w:lang w:eastAsia="en-NZ"/>
              </w:rPr>
            </w:pPr>
            <w:r w:rsidRPr="00D948EA">
              <w:rPr>
                <w:color w:val="000000"/>
                <w:sz w:val="20"/>
                <w:szCs w:val="20"/>
              </w:rPr>
              <w:t>Haematology and Lymphoid</w:t>
            </w:r>
          </w:p>
        </w:tc>
        <w:tc>
          <w:tcPr>
            <w:tcW w:w="850" w:type="dxa"/>
            <w:tcBorders>
              <w:top w:val="nil"/>
              <w:left w:val="single" w:sz="4" w:space="0" w:color="auto"/>
              <w:bottom w:val="nil"/>
              <w:right w:val="single" w:sz="4" w:space="0" w:color="auto"/>
            </w:tcBorders>
            <w:shd w:val="clear" w:color="auto" w:fill="auto"/>
            <w:noWrap/>
            <w:vAlign w:val="bottom"/>
          </w:tcPr>
          <w:p w14:paraId="3C69B76A" w14:textId="77777777" w:rsidR="00FE3795" w:rsidRPr="00D948EA" w:rsidRDefault="00FE3795" w:rsidP="00FE3795">
            <w:pPr>
              <w:keepNext/>
              <w:keepLines/>
              <w:spacing w:after="0" w:line="240" w:lineRule="auto"/>
              <w:jc w:val="right"/>
              <w:rPr>
                <w:rFonts w:eastAsia="Times New Roman" w:cs="Times New Roman"/>
                <w:color w:val="000000"/>
                <w:sz w:val="20"/>
                <w:szCs w:val="20"/>
                <w:lang w:eastAsia="en-NZ"/>
              </w:rPr>
            </w:pPr>
            <w:r w:rsidRPr="00D948EA">
              <w:rPr>
                <w:bCs/>
                <w:color w:val="000000"/>
                <w:sz w:val="20"/>
                <w:szCs w:val="20"/>
              </w:rPr>
              <w:t>5</w:t>
            </w:r>
          </w:p>
        </w:tc>
        <w:tc>
          <w:tcPr>
            <w:tcW w:w="851" w:type="dxa"/>
            <w:tcBorders>
              <w:top w:val="nil"/>
              <w:left w:val="single" w:sz="4" w:space="0" w:color="auto"/>
              <w:bottom w:val="nil"/>
              <w:right w:val="single" w:sz="4" w:space="0" w:color="auto"/>
            </w:tcBorders>
            <w:shd w:val="clear" w:color="auto" w:fill="auto"/>
            <w:vAlign w:val="bottom"/>
          </w:tcPr>
          <w:p w14:paraId="3EAE2151" w14:textId="77777777" w:rsidR="00FE3795" w:rsidRPr="00D948EA" w:rsidRDefault="00FE3795" w:rsidP="00FE3795">
            <w:pPr>
              <w:keepNext/>
              <w:keepLines/>
              <w:spacing w:after="0" w:line="240" w:lineRule="auto"/>
              <w:rPr>
                <w:color w:val="000000"/>
                <w:sz w:val="20"/>
                <w:szCs w:val="20"/>
              </w:rPr>
            </w:pPr>
            <w:r w:rsidRPr="00D948EA">
              <w:rPr>
                <w:bCs/>
                <w:color w:val="000000"/>
                <w:sz w:val="20"/>
                <w:szCs w:val="20"/>
              </w:rPr>
              <w:t>2.6</w:t>
            </w:r>
          </w:p>
        </w:tc>
        <w:tc>
          <w:tcPr>
            <w:tcW w:w="992" w:type="dxa"/>
            <w:tcBorders>
              <w:top w:val="nil"/>
              <w:left w:val="single" w:sz="4" w:space="0" w:color="auto"/>
              <w:bottom w:val="nil"/>
              <w:right w:val="single" w:sz="4" w:space="0" w:color="auto"/>
            </w:tcBorders>
            <w:shd w:val="clear" w:color="auto" w:fill="auto"/>
            <w:vAlign w:val="bottom"/>
          </w:tcPr>
          <w:p w14:paraId="39410907" w14:textId="77777777" w:rsidR="00FE3795" w:rsidRPr="00D948EA" w:rsidRDefault="00FE3795" w:rsidP="00FE3795">
            <w:pPr>
              <w:keepNext/>
              <w:keepLines/>
              <w:spacing w:after="0" w:line="240" w:lineRule="auto"/>
              <w:jc w:val="right"/>
              <w:rPr>
                <w:color w:val="000000"/>
                <w:sz w:val="20"/>
                <w:szCs w:val="20"/>
              </w:rPr>
            </w:pPr>
            <w:r w:rsidRPr="00D948EA">
              <w:rPr>
                <w:color w:val="000000"/>
                <w:sz w:val="20"/>
                <w:szCs w:val="20"/>
              </w:rPr>
              <w:t>-100</w:t>
            </w:r>
          </w:p>
        </w:tc>
        <w:tc>
          <w:tcPr>
            <w:tcW w:w="867" w:type="dxa"/>
            <w:tcBorders>
              <w:top w:val="nil"/>
              <w:left w:val="single" w:sz="4" w:space="0" w:color="auto"/>
              <w:bottom w:val="nil"/>
              <w:right w:val="single" w:sz="18" w:space="0" w:color="auto"/>
            </w:tcBorders>
            <w:shd w:val="clear" w:color="auto" w:fill="auto"/>
            <w:noWrap/>
            <w:vAlign w:val="bottom"/>
          </w:tcPr>
          <w:p w14:paraId="0F041AE7" w14:textId="77777777" w:rsidR="00FE3795" w:rsidRPr="00D948EA" w:rsidRDefault="00FE3795" w:rsidP="00FE3795">
            <w:pPr>
              <w:keepNext/>
              <w:keepLines/>
              <w:spacing w:after="0" w:line="240" w:lineRule="auto"/>
              <w:rPr>
                <w:rFonts w:eastAsia="Times New Roman" w:cs="Times New Roman"/>
                <w:color w:val="000000"/>
                <w:sz w:val="20"/>
                <w:szCs w:val="20"/>
                <w:lang w:eastAsia="en-NZ"/>
              </w:rPr>
            </w:pPr>
            <w:r w:rsidRPr="00D948EA">
              <w:rPr>
                <w:color w:val="000000"/>
                <w:sz w:val="20"/>
                <w:szCs w:val="20"/>
              </w:rPr>
              <w:t>-51.0</w:t>
            </w:r>
          </w:p>
        </w:tc>
        <w:tc>
          <w:tcPr>
            <w:tcW w:w="963" w:type="dxa"/>
            <w:tcBorders>
              <w:top w:val="nil"/>
              <w:left w:val="single" w:sz="18" w:space="0" w:color="auto"/>
              <w:bottom w:val="nil"/>
              <w:right w:val="single" w:sz="4" w:space="0" w:color="auto"/>
            </w:tcBorders>
            <w:shd w:val="clear" w:color="auto" w:fill="auto"/>
            <w:vAlign w:val="bottom"/>
          </w:tcPr>
          <w:p w14:paraId="2B88BCBA" w14:textId="77777777" w:rsidR="00FE3795" w:rsidRPr="00D948EA" w:rsidRDefault="00FE3795" w:rsidP="00FE3795">
            <w:pPr>
              <w:keepNext/>
              <w:keepLines/>
              <w:spacing w:after="0" w:line="240" w:lineRule="auto"/>
              <w:jc w:val="right"/>
              <w:rPr>
                <w:color w:val="000000"/>
                <w:sz w:val="20"/>
                <w:szCs w:val="20"/>
              </w:rPr>
            </w:pPr>
            <w:r w:rsidRPr="00D948EA">
              <w:rPr>
                <w:color w:val="000000"/>
                <w:sz w:val="20"/>
                <w:szCs w:val="20"/>
              </w:rPr>
              <w:t>-125</w:t>
            </w:r>
          </w:p>
        </w:tc>
        <w:tc>
          <w:tcPr>
            <w:tcW w:w="803" w:type="dxa"/>
            <w:tcBorders>
              <w:top w:val="nil"/>
              <w:left w:val="single" w:sz="4" w:space="0" w:color="auto"/>
              <w:bottom w:val="nil"/>
              <w:right w:val="nil"/>
            </w:tcBorders>
            <w:shd w:val="clear" w:color="auto" w:fill="auto"/>
            <w:vAlign w:val="bottom"/>
          </w:tcPr>
          <w:p w14:paraId="37BCF6E0" w14:textId="77777777" w:rsidR="00FE3795" w:rsidRPr="00D948EA" w:rsidRDefault="00FE3795" w:rsidP="00FE3795">
            <w:pPr>
              <w:keepNext/>
              <w:keepLines/>
              <w:spacing w:after="0" w:line="240" w:lineRule="auto"/>
              <w:rPr>
                <w:color w:val="000000"/>
                <w:sz w:val="20"/>
                <w:szCs w:val="20"/>
              </w:rPr>
            </w:pPr>
            <w:r w:rsidRPr="00D948EA">
              <w:rPr>
                <w:color w:val="000000"/>
                <w:sz w:val="20"/>
                <w:szCs w:val="20"/>
              </w:rPr>
              <w:t>-15.7</w:t>
            </w:r>
          </w:p>
        </w:tc>
      </w:tr>
      <w:tr w:rsidR="008E3A50" w:rsidRPr="00A1769A" w14:paraId="25F33416" w14:textId="77777777" w:rsidTr="00D948EA">
        <w:trPr>
          <w:cantSplit/>
          <w:trHeight w:val="249"/>
          <w:jc w:val="center"/>
        </w:trPr>
        <w:tc>
          <w:tcPr>
            <w:tcW w:w="3828" w:type="dxa"/>
            <w:tcBorders>
              <w:top w:val="nil"/>
              <w:left w:val="nil"/>
              <w:bottom w:val="nil"/>
              <w:right w:val="single" w:sz="4" w:space="0" w:color="auto"/>
            </w:tcBorders>
            <w:shd w:val="clear" w:color="auto" w:fill="auto"/>
            <w:noWrap/>
            <w:vAlign w:val="bottom"/>
          </w:tcPr>
          <w:p w14:paraId="2B371287" w14:textId="77777777" w:rsidR="00FE3795" w:rsidRPr="00D948EA" w:rsidRDefault="00FE3795" w:rsidP="00FE3795">
            <w:pPr>
              <w:keepNext/>
              <w:keepLines/>
              <w:spacing w:after="0" w:line="240" w:lineRule="auto"/>
              <w:jc w:val="right"/>
              <w:rPr>
                <w:rFonts w:eastAsia="Times New Roman" w:cs="Times New Roman"/>
                <w:color w:val="000000"/>
                <w:sz w:val="20"/>
                <w:szCs w:val="20"/>
                <w:lang w:eastAsia="en-NZ"/>
              </w:rPr>
            </w:pPr>
            <w:r w:rsidRPr="00D948EA">
              <w:rPr>
                <w:color w:val="000000"/>
                <w:sz w:val="20"/>
                <w:szCs w:val="20"/>
              </w:rPr>
              <w:t>Breast</w:t>
            </w:r>
          </w:p>
        </w:tc>
        <w:tc>
          <w:tcPr>
            <w:tcW w:w="850" w:type="dxa"/>
            <w:tcBorders>
              <w:top w:val="nil"/>
              <w:left w:val="single" w:sz="4" w:space="0" w:color="auto"/>
              <w:bottom w:val="nil"/>
              <w:right w:val="single" w:sz="4" w:space="0" w:color="auto"/>
            </w:tcBorders>
            <w:shd w:val="clear" w:color="auto" w:fill="auto"/>
            <w:noWrap/>
            <w:vAlign w:val="bottom"/>
          </w:tcPr>
          <w:p w14:paraId="7ACE9750" w14:textId="77777777" w:rsidR="00FE3795" w:rsidRPr="00D948EA" w:rsidRDefault="00FE3795" w:rsidP="00FE3795">
            <w:pPr>
              <w:keepNext/>
              <w:keepLines/>
              <w:spacing w:after="0" w:line="240" w:lineRule="auto"/>
              <w:jc w:val="right"/>
              <w:rPr>
                <w:rFonts w:eastAsia="Times New Roman" w:cs="Times New Roman"/>
                <w:color w:val="000000"/>
                <w:sz w:val="20"/>
                <w:szCs w:val="20"/>
                <w:lang w:eastAsia="en-NZ"/>
              </w:rPr>
            </w:pPr>
            <w:r w:rsidRPr="00D948EA">
              <w:rPr>
                <w:bCs/>
                <w:color w:val="000000"/>
                <w:sz w:val="20"/>
                <w:szCs w:val="20"/>
              </w:rPr>
              <w:t>34</w:t>
            </w:r>
          </w:p>
        </w:tc>
        <w:tc>
          <w:tcPr>
            <w:tcW w:w="851" w:type="dxa"/>
            <w:tcBorders>
              <w:top w:val="nil"/>
              <w:left w:val="single" w:sz="4" w:space="0" w:color="auto"/>
              <w:bottom w:val="nil"/>
              <w:right w:val="single" w:sz="4" w:space="0" w:color="auto"/>
            </w:tcBorders>
            <w:shd w:val="clear" w:color="auto" w:fill="auto"/>
            <w:vAlign w:val="bottom"/>
          </w:tcPr>
          <w:p w14:paraId="628FC2D5" w14:textId="77777777" w:rsidR="00FE3795" w:rsidRPr="00D948EA" w:rsidRDefault="00FE3795" w:rsidP="00FE3795">
            <w:pPr>
              <w:keepNext/>
              <w:keepLines/>
              <w:spacing w:after="0" w:line="240" w:lineRule="auto"/>
              <w:rPr>
                <w:color w:val="000000"/>
                <w:sz w:val="20"/>
                <w:szCs w:val="20"/>
              </w:rPr>
            </w:pPr>
            <w:r w:rsidRPr="00D948EA">
              <w:rPr>
                <w:bCs/>
                <w:color w:val="000000"/>
                <w:sz w:val="20"/>
                <w:szCs w:val="20"/>
              </w:rPr>
              <w:t>10.8</w:t>
            </w:r>
          </w:p>
        </w:tc>
        <w:tc>
          <w:tcPr>
            <w:tcW w:w="992" w:type="dxa"/>
            <w:tcBorders>
              <w:top w:val="nil"/>
              <w:left w:val="single" w:sz="4" w:space="0" w:color="auto"/>
              <w:bottom w:val="nil"/>
              <w:right w:val="single" w:sz="4" w:space="0" w:color="auto"/>
            </w:tcBorders>
            <w:shd w:val="clear" w:color="auto" w:fill="auto"/>
            <w:vAlign w:val="bottom"/>
          </w:tcPr>
          <w:p w14:paraId="40325F70" w14:textId="77777777" w:rsidR="00FE3795" w:rsidRPr="00D948EA" w:rsidRDefault="00FE3795" w:rsidP="00FE3795">
            <w:pPr>
              <w:keepNext/>
              <w:keepLines/>
              <w:spacing w:after="0" w:line="240" w:lineRule="auto"/>
              <w:jc w:val="right"/>
              <w:rPr>
                <w:color w:val="000000"/>
                <w:sz w:val="20"/>
                <w:szCs w:val="20"/>
              </w:rPr>
            </w:pPr>
            <w:r w:rsidRPr="00D948EA">
              <w:rPr>
                <w:color w:val="000000"/>
                <w:sz w:val="20"/>
                <w:szCs w:val="20"/>
              </w:rPr>
              <w:t>-210</w:t>
            </w:r>
          </w:p>
        </w:tc>
        <w:tc>
          <w:tcPr>
            <w:tcW w:w="867" w:type="dxa"/>
            <w:tcBorders>
              <w:top w:val="nil"/>
              <w:left w:val="single" w:sz="4" w:space="0" w:color="auto"/>
              <w:bottom w:val="nil"/>
              <w:right w:val="single" w:sz="18" w:space="0" w:color="auto"/>
            </w:tcBorders>
            <w:shd w:val="clear" w:color="auto" w:fill="auto"/>
            <w:noWrap/>
            <w:vAlign w:val="bottom"/>
          </w:tcPr>
          <w:p w14:paraId="67842167" w14:textId="77777777" w:rsidR="00FE3795" w:rsidRPr="00D948EA" w:rsidRDefault="00FE3795" w:rsidP="00FE3795">
            <w:pPr>
              <w:keepNext/>
              <w:keepLines/>
              <w:spacing w:after="0" w:line="240" w:lineRule="auto"/>
              <w:rPr>
                <w:rFonts w:eastAsia="Times New Roman" w:cs="Times New Roman"/>
                <w:color w:val="000000"/>
                <w:sz w:val="20"/>
                <w:szCs w:val="20"/>
                <w:lang w:eastAsia="en-NZ"/>
              </w:rPr>
            </w:pPr>
            <w:r w:rsidRPr="00D948EA">
              <w:rPr>
                <w:color w:val="000000"/>
                <w:sz w:val="20"/>
                <w:szCs w:val="20"/>
              </w:rPr>
              <w:t>-62.3</w:t>
            </w:r>
          </w:p>
        </w:tc>
        <w:tc>
          <w:tcPr>
            <w:tcW w:w="963" w:type="dxa"/>
            <w:tcBorders>
              <w:top w:val="nil"/>
              <w:left w:val="single" w:sz="18" w:space="0" w:color="auto"/>
              <w:bottom w:val="nil"/>
              <w:right w:val="single" w:sz="4" w:space="0" w:color="auto"/>
            </w:tcBorders>
            <w:shd w:val="clear" w:color="auto" w:fill="auto"/>
            <w:vAlign w:val="bottom"/>
          </w:tcPr>
          <w:p w14:paraId="530264D4" w14:textId="77777777" w:rsidR="00FE3795" w:rsidRPr="00D948EA" w:rsidRDefault="00FE3795" w:rsidP="00FE3795">
            <w:pPr>
              <w:keepNext/>
              <w:keepLines/>
              <w:spacing w:after="0" w:line="240" w:lineRule="auto"/>
              <w:jc w:val="right"/>
              <w:rPr>
                <w:color w:val="000000"/>
                <w:sz w:val="20"/>
                <w:szCs w:val="20"/>
              </w:rPr>
            </w:pPr>
            <w:r w:rsidRPr="00D948EA">
              <w:rPr>
                <w:color w:val="000000"/>
                <w:sz w:val="20"/>
                <w:szCs w:val="20"/>
              </w:rPr>
              <w:t>-104</w:t>
            </w:r>
          </w:p>
        </w:tc>
        <w:tc>
          <w:tcPr>
            <w:tcW w:w="803" w:type="dxa"/>
            <w:tcBorders>
              <w:top w:val="nil"/>
              <w:left w:val="single" w:sz="4" w:space="0" w:color="auto"/>
              <w:bottom w:val="nil"/>
              <w:right w:val="nil"/>
            </w:tcBorders>
            <w:shd w:val="clear" w:color="auto" w:fill="auto"/>
            <w:vAlign w:val="bottom"/>
          </w:tcPr>
          <w:p w14:paraId="1DE2EEE3" w14:textId="77777777" w:rsidR="00FE3795" w:rsidRPr="00D948EA" w:rsidRDefault="00FE3795" w:rsidP="00FE3795">
            <w:pPr>
              <w:keepNext/>
              <w:keepLines/>
              <w:spacing w:after="0" w:line="240" w:lineRule="auto"/>
              <w:rPr>
                <w:color w:val="000000"/>
                <w:sz w:val="20"/>
                <w:szCs w:val="20"/>
              </w:rPr>
            </w:pPr>
            <w:r w:rsidRPr="00D948EA">
              <w:rPr>
                <w:color w:val="000000"/>
                <w:sz w:val="20"/>
                <w:szCs w:val="20"/>
              </w:rPr>
              <w:t>-8.6</w:t>
            </w:r>
          </w:p>
        </w:tc>
      </w:tr>
      <w:tr w:rsidR="008E3A50" w:rsidRPr="00A1769A" w14:paraId="3F4FB6B0" w14:textId="77777777" w:rsidTr="00D948EA">
        <w:trPr>
          <w:cantSplit/>
          <w:trHeight w:val="249"/>
          <w:jc w:val="center"/>
        </w:trPr>
        <w:tc>
          <w:tcPr>
            <w:tcW w:w="3828" w:type="dxa"/>
            <w:tcBorders>
              <w:top w:val="nil"/>
              <w:left w:val="nil"/>
              <w:bottom w:val="nil"/>
              <w:right w:val="single" w:sz="4" w:space="0" w:color="auto"/>
            </w:tcBorders>
            <w:shd w:val="clear" w:color="auto" w:fill="auto"/>
            <w:noWrap/>
            <w:vAlign w:val="bottom"/>
          </w:tcPr>
          <w:p w14:paraId="7E21FD9D" w14:textId="77777777" w:rsidR="00FE3795" w:rsidRPr="00D948EA" w:rsidRDefault="00FE3795" w:rsidP="00FE3795">
            <w:pPr>
              <w:keepNext/>
              <w:keepLines/>
              <w:spacing w:after="0" w:line="240" w:lineRule="auto"/>
              <w:jc w:val="right"/>
              <w:rPr>
                <w:rFonts w:eastAsia="Times New Roman" w:cs="Times New Roman"/>
                <w:color w:val="000000"/>
                <w:sz w:val="20"/>
                <w:szCs w:val="20"/>
                <w:lang w:eastAsia="en-NZ"/>
              </w:rPr>
            </w:pPr>
            <w:r w:rsidRPr="00D948EA">
              <w:rPr>
                <w:color w:val="000000"/>
                <w:sz w:val="20"/>
                <w:szCs w:val="20"/>
              </w:rPr>
              <w:t>Urinary system</w:t>
            </w:r>
          </w:p>
        </w:tc>
        <w:tc>
          <w:tcPr>
            <w:tcW w:w="850" w:type="dxa"/>
            <w:tcBorders>
              <w:top w:val="nil"/>
              <w:left w:val="single" w:sz="4" w:space="0" w:color="auto"/>
              <w:bottom w:val="nil"/>
              <w:right w:val="single" w:sz="4" w:space="0" w:color="auto"/>
            </w:tcBorders>
            <w:shd w:val="clear" w:color="auto" w:fill="auto"/>
            <w:noWrap/>
            <w:vAlign w:val="bottom"/>
          </w:tcPr>
          <w:p w14:paraId="790B7721" w14:textId="77777777" w:rsidR="00FE3795" w:rsidRPr="00D948EA" w:rsidRDefault="00FE3795" w:rsidP="00FE3795">
            <w:pPr>
              <w:keepNext/>
              <w:keepLines/>
              <w:spacing w:after="0" w:line="240" w:lineRule="auto"/>
              <w:jc w:val="right"/>
              <w:rPr>
                <w:rFonts w:eastAsia="Times New Roman" w:cs="Times New Roman"/>
                <w:color w:val="000000"/>
                <w:sz w:val="20"/>
                <w:szCs w:val="20"/>
                <w:lang w:eastAsia="en-NZ"/>
              </w:rPr>
            </w:pPr>
            <w:r w:rsidRPr="00D948EA">
              <w:rPr>
                <w:bCs/>
                <w:color w:val="000000"/>
                <w:sz w:val="20"/>
                <w:szCs w:val="20"/>
              </w:rPr>
              <w:t>-24</w:t>
            </w:r>
          </w:p>
        </w:tc>
        <w:tc>
          <w:tcPr>
            <w:tcW w:w="851" w:type="dxa"/>
            <w:tcBorders>
              <w:top w:val="nil"/>
              <w:left w:val="single" w:sz="4" w:space="0" w:color="auto"/>
              <w:bottom w:val="nil"/>
              <w:right w:val="single" w:sz="4" w:space="0" w:color="auto"/>
            </w:tcBorders>
            <w:shd w:val="clear" w:color="auto" w:fill="auto"/>
            <w:vAlign w:val="bottom"/>
          </w:tcPr>
          <w:p w14:paraId="47E61A02" w14:textId="77777777" w:rsidR="00FE3795" w:rsidRPr="00D948EA" w:rsidRDefault="00FE3795" w:rsidP="00FE3795">
            <w:pPr>
              <w:keepNext/>
              <w:keepLines/>
              <w:spacing w:after="0" w:line="240" w:lineRule="auto"/>
              <w:rPr>
                <w:color w:val="000000"/>
                <w:sz w:val="20"/>
                <w:szCs w:val="20"/>
              </w:rPr>
            </w:pPr>
            <w:r w:rsidRPr="00D948EA">
              <w:rPr>
                <w:bCs/>
                <w:color w:val="000000"/>
                <w:sz w:val="20"/>
                <w:szCs w:val="20"/>
              </w:rPr>
              <w:t>-18.5</w:t>
            </w:r>
          </w:p>
        </w:tc>
        <w:tc>
          <w:tcPr>
            <w:tcW w:w="992" w:type="dxa"/>
            <w:tcBorders>
              <w:top w:val="nil"/>
              <w:left w:val="single" w:sz="4" w:space="0" w:color="auto"/>
              <w:bottom w:val="nil"/>
              <w:right w:val="single" w:sz="4" w:space="0" w:color="auto"/>
            </w:tcBorders>
            <w:shd w:val="clear" w:color="auto" w:fill="auto"/>
            <w:vAlign w:val="bottom"/>
          </w:tcPr>
          <w:p w14:paraId="6180A3A7" w14:textId="77777777" w:rsidR="00FE3795" w:rsidRPr="00D948EA" w:rsidRDefault="00FE3795" w:rsidP="00FE3795">
            <w:pPr>
              <w:keepNext/>
              <w:keepLines/>
              <w:spacing w:after="0" w:line="240" w:lineRule="auto"/>
              <w:jc w:val="right"/>
              <w:rPr>
                <w:color w:val="000000"/>
                <w:sz w:val="20"/>
                <w:szCs w:val="20"/>
              </w:rPr>
            </w:pPr>
            <w:r w:rsidRPr="00D948EA">
              <w:rPr>
                <w:color w:val="000000"/>
                <w:sz w:val="20"/>
                <w:szCs w:val="20"/>
              </w:rPr>
              <w:t>-7</w:t>
            </w:r>
          </w:p>
        </w:tc>
        <w:tc>
          <w:tcPr>
            <w:tcW w:w="867" w:type="dxa"/>
            <w:tcBorders>
              <w:top w:val="nil"/>
              <w:left w:val="single" w:sz="4" w:space="0" w:color="auto"/>
              <w:bottom w:val="nil"/>
              <w:right w:val="single" w:sz="18" w:space="0" w:color="auto"/>
            </w:tcBorders>
            <w:shd w:val="clear" w:color="auto" w:fill="auto"/>
            <w:noWrap/>
            <w:vAlign w:val="bottom"/>
          </w:tcPr>
          <w:p w14:paraId="1F133136" w14:textId="77777777" w:rsidR="00FE3795" w:rsidRPr="00D948EA" w:rsidRDefault="00FE3795" w:rsidP="00FE3795">
            <w:pPr>
              <w:keepNext/>
              <w:keepLines/>
              <w:spacing w:after="0" w:line="240" w:lineRule="auto"/>
              <w:rPr>
                <w:rFonts w:eastAsia="Times New Roman" w:cs="Times New Roman"/>
                <w:color w:val="000000"/>
                <w:sz w:val="20"/>
                <w:szCs w:val="20"/>
                <w:lang w:eastAsia="en-NZ"/>
              </w:rPr>
            </w:pPr>
            <w:r w:rsidRPr="00D948EA">
              <w:rPr>
                <w:color w:val="000000"/>
                <w:sz w:val="20"/>
                <w:szCs w:val="20"/>
              </w:rPr>
              <w:t>-7.1</w:t>
            </w:r>
          </w:p>
        </w:tc>
        <w:tc>
          <w:tcPr>
            <w:tcW w:w="963" w:type="dxa"/>
            <w:tcBorders>
              <w:top w:val="nil"/>
              <w:left w:val="single" w:sz="18" w:space="0" w:color="auto"/>
              <w:bottom w:val="nil"/>
              <w:right w:val="single" w:sz="4" w:space="0" w:color="auto"/>
            </w:tcBorders>
            <w:shd w:val="clear" w:color="auto" w:fill="auto"/>
            <w:vAlign w:val="bottom"/>
          </w:tcPr>
          <w:p w14:paraId="3E539B8A" w14:textId="77777777" w:rsidR="00FE3795" w:rsidRPr="00D948EA" w:rsidRDefault="00FE3795" w:rsidP="00FE3795">
            <w:pPr>
              <w:keepNext/>
              <w:keepLines/>
              <w:spacing w:after="0" w:line="240" w:lineRule="auto"/>
              <w:jc w:val="right"/>
              <w:rPr>
                <w:color w:val="000000"/>
                <w:sz w:val="20"/>
                <w:szCs w:val="20"/>
              </w:rPr>
            </w:pPr>
            <w:r w:rsidRPr="00D948EA">
              <w:rPr>
                <w:color w:val="000000"/>
                <w:sz w:val="20"/>
                <w:szCs w:val="20"/>
              </w:rPr>
              <w:t>-40</w:t>
            </w:r>
          </w:p>
        </w:tc>
        <w:tc>
          <w:tcPr>
            <w:tcW w:w="803" w:type="dxa"/>
            <w:tcBorders>
              <w:top w:val="nil"/>
              <w:left w:val="single" w:sz="4" w:space="0" w:color="auto"/>
              <w:bottom w:val="nil"/>
              <w:right w:val="nil"/>
            </w:tcBorders>
            <w:shd w:val="clear" w:color="auto" w:fill="auto"/>
            <w:vAlign w:val="bottom"/>
          </w:tcPr>
          <w:p w14:paraId="2882DC71" w14:textId="77777777" w:rsidR="00FE3795" w:rsidRPr="00D948EA" w:rsidRDefault="00FE3795" w:rsidP="00FE3795">
            <w:pPr>
              <w:keepNext/>
              <w:keepLines/>
              <w:spacing w:after="0" w:line="240" w:lineRule="auto"/>
              <w:rPr>
                <w:color w:val="000000"/>
                <w:sz w:val="20"/>
                <w:szCs w:val="20"/>
              </w:rPr>
            </w:pPr>
            <w:r w:rsidRPr="00D948EA">
              <w:rPr>
                <w:color w:val="000000"/>
                <w:sz w:val="20"/>
                <w:szCs w:val="20"/>
              </w:rPr>
              <w:t>-8.8</w:t>
            </w:r>
          </w:p>
        </w:tc>
      </w:tr>
      <w:tr w:rsidR="008E3A50" w:rsidRPr="00A1769A" w14:paraId="7E721FC2" w14:textId="77777777" w:rsidTr="00D948EA">
        <w:trPr>
          <w:cantSplit/>
          <w:trHeight w:val="249"/>
          <w:jc w:val="center"/>
        </w:trPr>
        <w:tc>
          <w:tcPr>
            <w:tcW w:w="3828" w:type="dxa"/>
            <w:tcBorders>
              <w:top w:val="nil"/>
              <w:left w:val="nil"/>
              <w:bottom w:val="nil"/>
              <w:right w:val="single" w:sz="4" w:space="0" w:color="auto"/>
            </w:tcBorders>
            <w:shd w:val="clear" w:color="auto" w:fill="auto"/>
            <w:noWrap/>
            <w:vAlign w:val="bottom"/>
          </w:tcPr>
          <w:p w14:paraId="70205D65" w14:textId="777AF60D" w:rsidR="00FE3795" w:rsidRPr="00D948EA" w:rsidRDefault="00FE3795" w:rsidP="00FE3795">
            <w:pPr>
              <w:keepNext/>
              <w:keepLines/>
              <w:spacing w:after="0" w:line="240" w:lineRule="auto"/>
              <w:jc w:val="right"/>
              <w:rPr>
                <w:rFonts w:eastAsia="Times New Roman" w:cs="Times New Roman"/>
                <w:color w:val="000000"/>
                <w:sz w:val="20"/>
                <w:szCs w:val="20"/>
                <w:lang w:eastAsia="en-NZ"/>
              </w:rPr>
            </w:pPr>
            <w:r w:rsidRPr="00D948EA">
              <w:rPr>
                <w:color w:val="000000"/>
                <w:sz w:val="20"/>
                <w:szCs w:val="20"/>
              </w:rPr>
              <w:t>Melanoma and non-melanoma skin</w:t>
            </w:r>
            <w:r w:rsidR="008E3A50" w:rsidRPr="00D948EA">
              <w:rPr>
                <w:color w:val="000000"/>
                <w:sz w:val="20"/>
                <w:szCs w:val="20"/>
              </w:rPr>
              <w:t xml:space="preserve"> cancer</w:t>
            </w:r>
            <w:r w:rsidRPr="00D948EA">
              <w:rPr>
                <w:color w:val="000000"/>
                <w:sz w:val="20"/>
                <w:szCs w:val="20"/>
              </w:rPr>
              <w:t xml:space="preserve"> </w:t>
            </w:r>
          </w:p>
        </w:tc>
        <w:tc>
          <w:tcPr>
            <w:tcW w:w="850" w:type="dxa"/>
            <w:tcBorders>
              <w:top w:val="nil"/>
              <w:left w:val="single" w:sz="4" w:space="0" w:color="auto"/>
              <w:bottom w:val="nil"/>
              <w:right w:val="single" w:sz="4" w:space="0" w:color="auto"/>
            </w:tcBorders>
            <w:shd w:val="clear" w:color="auto" w:fill="auto"/>
            <w:noWrap/>
            <w:vAlign w:val="bottom"/>
          </w:tcPr>
          <w:p w14:paraId="24ABD544" w14:textId="77777777" w:rsidR="00FE3795" w:rsidRPr="00D948EA" w:rsidRDefault="00FE3795" w:rsidP="00FE3795">
            <w:pPr>
              <w:keepNext/>
              <w:keepLines/>
              <w:spacing w:after="0" w:line="240" w:lineRule="auto"/>
              <w:jc w:val="right"/>
              <w:rPr>
                <w:rFonts w:eastAsia="Times New Roman" w:cs="Times New Roman"/>
                <w:color w:val="000000"/>
                <w:sz w:val="20"/>
                <w:szCs w:val="20"/>
                <w:lang w:eastAsia="en-NZ"/>
              </w:rPr>
            </w:pPr>
            <w:r w:rsidRPr="00D948EA">
              <w:rPr>
                <w:bCs/>
                <w:color w:val="000000"/>
                <w:sz w:val="20"/>
                <w:szCs w:val="20"/>
              </w:rPr>
              <w:t>8</w:t>
            </w:r>
          </w:p>
        </w:tc>
        <w:tc>
          <w:tcPr>
            <w:tcW w:w="851" w:type="dxa"/>
            <w:tcBorders>
              <w:top w:val="nil"/>
              <w:left w:val="single" w:sz="4" w:space="0" w:color="auto"/>
              <w:bottom w:val="nil"/>
              <w:right w:val="single" w:sz="4" w:space="0" w:color="auto"/>
            </w:tcBorders>
            <w:shd w:val="clear" w:color="auto" w:fill="auto"/>
            <w:vAlign w:val="bottom"/>
          </w:tcPr>
          <w:p w14:paraId="6F2168FE" w14:textId="77777777" w:rsidR="00FE3795" w:rsidRPr="00D948EA" w:rsidRDefault="00FE3795" w:rsidP="00FE3795">
            <w:pPr>
              <w:keepNext/>
              <w:keepLines/>
              <w:spacing w:after="0" w:line="240" w:lineRule="auto"/>
              <w:rPr>
                <w:color w:val="000000"/>
                <w:sz w:val="20"/>
                <w:szCs w:val="20"/>
              </w:rPr>
            </w:pPr>
            <w:r w:rsidRPr="00D948EA">
              <w:rPr>
                <w:bCs/>
                <w:color w:val="000000"/>
                <w:sz w:val="20"/>
                <w:szCs w:val="20"/>
              </w:rPr>
              <w:t>1.6</w:t>
            </w:r>
          </w:p>
        </w:tc>
        <w:tc>
          <w:tcPr>
            <w:tcW w:w="992" w:type="dxa"/>
            <w:tcBorders>
              <w:top w:val="nil"/>
              <w:left w:val="single" w:sz="4" w:space="0" w:color="auto"/>
              <w:bottom w:val="nil"/>
              <w:right w:val="single" w:sz="4" w:space="0" w:color="auto"/>
            </w:tcBorders>
            <w:shd w:val="clear" w:color="auto" w:fill="auto"/>
            <w:vAlign w:val="bottom"/>
          </w:tcPr>
          <w:p w14:paraId="6FC5C990" w14:textId="77777777" w:rsidR="00FE3795" w:rsidRPr="00D948EA" w:rsidRDefault="00FE3795" w:rsidP="00FE3795">
            <w:pPr>
              <w:keepNext/>
              <w:keepLines/>
              <w:spacing w:after="0" w:line="240" w:lineRule="auto"/>
              <w:jc w:val="right"/>
              <w:rPr>
                <w:color w:val="000000"/>
                <w:sz w:val="20"/>
                <w:szCs w:val="20"/>
              </w:rPr>
            </w:pPr>
            <w:r w:rsidRPr="00D948EA">
              <w:rPr>
                <w:color w:val="000000"/>
                <w:sz w:val="20"/>
                <w:szCs w:val="20"/>
              </w:rPr>
              <w:t>-220</w:t>
            </w:r>
          </w:p>
        </w:tc>
        <w:tc>
          <w:tcPr>
            <w:tcW w:w="867" w:type="dxa"/>
            <w:tcBorders>
              <w:top w:val="nil"/>
              <w:left w:val="single" w:sz="4" w:space="0" w:color="auto"/>
              <w:bottom w:val="nil"/>
              <w:right w:val="single" w:sz="18" w:space="0" w:color="auto"/>
            </w:tcBorders>
            <w:shd w:val="clear" w:color="auto" w:fill="auto"/>
            <w:noWrap/>
            <w:vAlign w:val="bottom"/>
          </w:tcPr>
          <w:p w14:paraId="11D28BBB" w14:textId="77777777" w:rsidR="00FE3795" w:rsidRPr="00D948EA" w:rsidRDefault="00FE3795" w:rsidP="00FE3795">
            <w:pPr>
              <w:keepNext/>
              <w:keepLines/>
              <w:spacing w:after="0" w:line="240" w:lineRule="auto"/>
              <w:rPr>
                <w:rFonts w:eastAsia="Times New Roman" w:cs="Times New Roman"/>
                <w:color w:val="000000"/>
                <w:sz w:val="20"/>
                <w:szCs w:val="20"/>
                <w:lang w:eastAsia="en-NZ"/>
              </w:rPr>
            </w:pPr>
            <w:r w:rsidRPr="00D948EA">
              <w:rPr>
                <w:color w:val="000000"/>
                <w:sz w:val="20"/>
                <w:szCs w:val="20"/>
              </w:rPr>
              <w:t>-55.6</w:t>
            </w:r>
          </w:p>
        </w:tc>
        <w:tc>
          <w:tcPr>
            <w:tcW w:w="963" w:type="dxa"/>
            <w:tcBorders>
              <w:top w:val="nil"/>
              <w:left w:val="single" w:sz="18" w:space="0" w:color="auto"/>
              <w:bottom w:val="nil"/>
              <w:right w:val="single" w:sz="4" w:space="0" w:color="auto"/>
            </w:tcBorders>
            <w:shd w:val="clear" w:color="auto" w:fill="auto"/>
            <w:vAlign w:val="bottom"/>
          </w:tcPr>
          <w:p w14:paraId="5547467F" w14:textId="77777777" w:rsidR="00FE3795" w:rsidRPr="00D948EA" w:rsidRDefault="00FE3795" w:rsidP="00FE3795">
            <w:pPr>
              <w:keepNext/>
              <w:keepLines/>
              <w:spacing w:after="0" w:line="240" w:lineRule="auto"/>
              <w:jc w:val="right"/>
              <w:rPr>
                <w:color w:val="000000"/>
                <w:sz w:val="20"/>
                <w:szCs w:val="20"/>
              </w:rPr>
            </w:pPr>
            <w:r w:rsidRPr="00D948EA">
              <w:rPr>
                <w:color w:val="000000"/>
                <w:sz w:val="20"/>
                <w:szCs w:val="20"/>
              </w:rPr>
              <w:t>-11</w:t>
            </w:r>
          </w:p>
        </w:tc>
        <w:tc>
          <w:tcPr>
            <w:tcW w:w="803" w:type="dxa"/>
            <w:tcBorders>
              <w:top w:val="nil"/>
              <w:left w:val="single" w:sz="4" w:space="0" w:color="auto"/>
              <w:bottom w:val="nil"/>
              <w:right w:val="nil"/>
            </w:tcBorders>
            <w:shd w:val="clear" w:color="auto" w:fill="auto"/>
            <w:vAlign w:val="bottom"/>
          </w:tcPr>
          <w:p w14:paraId="2A684D81" w14:textId="77777777" w:rsidR="00FE3795" w:rsidRPr="00D948EA" w:rsidRDefault="00FE3795" w:rsidP="00FE3795">
            <w:pPr>
              <w:keepNext/>
              <w:keepLines/>
              <w:spacing w:after="0" w:line="240" w:lineRule="auto"/>
              <w:rPr>
                <w:color w:val="000000"/>
                <w:sz w:val="20"/>
                <w:szCs w:val="20"/>
              </w:rPr>
            </w:pPr>
            <w:r w:rsidRPr="00D948EA">
              <w:rPr>
                <w:color w:val="000000"/>
                <w:sz w:val="20"/>
                <w:szCs w:val="20"/>
              </w:rPr>
              <w:t>-0.6</w:t>
            </w:r>
          </w:p>
        </w:tc>
      </w:tr>
      <w:tr w:rsidR="008E3A50" w:rsidRPr="00A1769A" w14:paraId="10D8B8F8" w14:textId="77777777" w:rsidTr="00D948EA">
        <w:trPr>
          <w:cantSplit/>
          <w:trHeight w:val="249"/>
          <w:jc w:val="center"/>
        </w:trPr>
        <w:tc>
          <w:tcPr>
            <w:tcW w:w="3828" w:type="dxa"/>
            <w:tcBorders>
              <w:top w:val="nil"/>
              <w:left w:val="nil"/>
              <w:bottom w:val="nil"/>
              <w:right w:val="single" w:sz="4" w:space="0" w:color="auto"/>
            </w:tcBorders>
            <w:shd w:val="clear" w:color="auto" w:fill="auto"/>
            <w:noWrap/>
            <w:vAlign w:val="bottom"/>
          </w:tcPr>
          <w:p w14:paraId="7B3943C5" w14:textId="77777777" w:rsidR="00FE3795" w:rsidRPr="00D948EA" w:rsidRDefault="00FE3795" w:rsidP="00FE3795">
            <w:pPr>
              <w:keepNext/>
              <w:keepLines/>
              <w:spacing w:after="0" w:line="240" w:lineRule="auto"/>
              <w:jc w:val="right"/>
              <w:rPr>
                <w:rFonts w:eastAsia="Times New Roman" w:cs="Times New Roman"/>
                <w:color w:val="000000"/>
                <w:sz w:val="20"/>
                <w:szCs w:val="20"/>
                <w:lang w:eastAsia="en-NZ"/>
              </w:rPr>
            </w:pPr>
            <w:r w:rsidRPr="00D948EA">
              <w:rPr>
                <w:color w:val="000000"/>
                <w:sz w:val="20"/>
                <w:szCs w:val="20"/>
              </w:rPr>
              <w:t>Colorectal</w:t>
            </w:r>
          </w:p>
        </w:tc>
        <w:tc>
          <w:tcPr>
            <w:tcW w:w="850" w:type="dxa"/>
            <w:tcBorders>
              <w:top w:val="nil"/>
              <w:left w:val="single" w:sz="4" w:space="0" w:color="auto"/>
              <w:bottom w:val="nil"/>
              <w:right w:val="single" w:sz="4" w:space="0" w:color="auto"/>
            </w:tcBorders>
            <w:shd w:val="clear" w:color="auto" w:fill="auto"/>
            <w:noWrap/>
            <w:vAlign w:val="bottom"/>
          </w:tcPr>
          <w:p w14:paraId="5EE9C4CA" w14:textId="77777777" w:rsidR="00FE3795" w:rsidRPr="00D948EA" w:rsidRDefault="00FE3795" w:rsidP="00FE3795">
            <w:pPr>
              <w:keepNext/>
              <w:keepLines/>
              <w:spacing w:after="0" w:line="240" w:lineRule="auto"/>
              <w:jc w:val="right"/>
              <w:rPr>
                <w:rFonts w:eastAsia="Times New Roman" w:cs="Times New Roman"/>
                <w:color w:val="000000"/>
                <w:sz w:val="20"/>
                <w:szCs w:val="20"/>
                <w:lang w:eastAsia="en-NZ"/>
              </w:rPr>
            </w:pPr>
            <w:r w:rsidRPr="00D948EA">
              <w:rPr>
                <w:bCs/>
                <w:color w:val="000000"/>
                <w:sz w:val="20"/>
                <w:szCs w:val="20"/>
              </w:rPr>
              <w:t>-7</w:t>
            </w:r>
          </w:p>
        </w:tc>
        <w:tc>
          <w:tcPr>
            <w:tcW w:w="851" w:type="dxa"/>
            <w:tcBorders>
              <w:top w:val="nil"/>
              <w:left w:val="single" w:sz="4" w:space="0" w:color="auto"/>
              <w:bottom w:val="nil"/>
              <w:right w:val="single" w:sz="4" w:space="0" w:color="auto"/>
            </w:tcBorders>
            <w:shd w:val="clear" w:color="auto" w:fill="auto"/>
            <w:vAlign w:val="bottom"/>
          </w:tcPr>
          <w:p w14:paraId="492F6CB2" w14:textId="77777777" w:rsidR="00FE3795" w:rsidRPr="00D948EA" w:rsidRDefault="00FE3795" w:rsidP="00FE3795">
            <w:pPr>
              <w:keepNext/>
              <w:keepLines/>
              <w:spacing w:after="0" w:line="240" w:lineRule="auto"/>
              <w:rPr>
                <w:color w:val="000000"/>
                <w:sz w:val="20"/>
                <w:szCs w:val="20"/>
              </w:rPr>
            </w:pPr>
            <w:r w:rsidRPr="00D948EA">
              <w:rPr>
                <w:bCs/>
                <w:color w:val="000000"/>
                <w:sz w:val="20"/>
                <w:szCs w:val="20"/>
              </w:rPr>
              <w:t>-2.5</w:t>
            </w:r>
          </w:p>
        </w:tc>
        <w:tc>
          <w:tcPr>
            <w:tcW w:w="992" w:type="dxa"/>
            <w:tcBorders>
              <w:top w:val="nil"/>
              <w:left w:val="single" w:sz="4" w:space="0" w:color="auto"/>
              <w:bottom w:val="nil"/>
              <w:right w:val="single" w:sz="4" w:space="0" w:color="auto"/>
            </w:tcBorders>
            <w:shd w:val="clear" w:color="auto" w:fill="auto"/>
            <w:vAlign w:val="bottom"/>
          </w:tcPr>
          <w:p w14:paraId="3B69D769" w14:textId="77777777" w:rsidR="00FE3795" w:rsidRPr="00D948EA" w:rsidRDefault="00FE3795" w:rsidP="00FE3795">
            <w:pPr>
              <w:keepNext/>
              <w:keepLines/>
              <w:spacing w:after="0" w:line="240" w:lineRule="auto"/>
              <w:jc w:val="right"/>
              <w:rPr>
                <w:color w:val="000000"/>
                <w:sz w:val="20"/>
                <w:szCs w:val="20"/>
              </w:rPr>
            </w:pPr>
            <w:r w:rsidRPr="00D948EA">
              <w:rPr>
                <w:color w:val="000000"/>
                <w:sz w:val="20"/>
                <w:szCs w:val="20"/>
              </w:rPr>
              <w:t>-110</w:t>
            </w:r>
          </w:p>
        </w:tc>
        <w:tc>
          <w:tcPr>
            <w:tcW w:w="867" w:type="dxa"/>
            <w:tcBorders>
              <w:top w:val="nil"/>
              <w:left w:val="single" w:sz="4" w:space="0" w:color="auto"/>
              <w:bottom w:val="nil"/>
              <w:right w:val="single" w:sz="18" w:space="0" w:color="auto"/>
            </w:tcBorders>
            <w:shd w:val="clear" w:color="auto" w:fill="auto"/>
            <w:noWrap/>
            <w:vAlign w:val="bottom"/>
          </w:tcPr>
          <w:p w14:paraId="66799C74" w14:textId="77777777" w:rsidR="00FE3795" w:rsidRPr="00D948EA" w:rsidRDefault="00FE3795" w:rsidP="00FE3795">
            <w:pPr>
              <w:keepNext/>
              <w:keepLines/>
              <w:spacing w:after="0" w:line="240" w:lineRule="auto"/>
              <w:rPr>
                <w:rFonts w:eastAsia="Times New Roman" w:cs="Times New Roman"/>
                <w:color w:val="000000"/>
                <w:sz w:val="20"/>
                <w:szCs w:val="20"/>
                <w:lang w:eastAsia="en-NZ"/>
              </w:rPr>
            </w:pPr>
            <w:r w:rsidRPr="00D948EA">
              <w:rPr>
                <w:color w:val="000000"/>
                <w:sz w:val="20"/>
                <w:szCs w:val="20"/>
              </w:rPr>
              <w:t>-44.5</w:t>
            </w:r>
          </w:p>
        </w:tc>
        <w:tc>
          <w:tcPr>
            <w:tcW w:w="963" w:type="dxa"/>
            <w:tcBorders>
              <w:top w:val="nil"/>
              <w:left w:val="single" w:sz="18" w:space="0" w:color="auto"/>
              <w:bottom w:val="nil"/>
              <w:right w:val="single" w:sz="4" w:space="0" w:color="auto"/>
            </w:tcBorders>
            <w:shd w:val="clear" w:color="auto" w:fill="auto"/>
            <w:vAlign w:val="bottom"/>
          </w:tcPr>
          <w:p w14:paraId="6273E8A7" w14:textId="77777777" w:rsidR="00FE3795" w:rsidRPr="00D948EA" w:rsidRDefault="00FE3795" w:rsidP="00FE3795">
            <w:pPr>
              <w:keepNext/>
              <w:keepLines/>
              <w:spacing w:after="0" w:line="240" w:lineRule="auto"/>
              <w:jc w:val="right"/>
              <w:rPr>
                <w:color w:val="000000"/>
                <w:sz w:val="20"/>
                <w:szCs w:val="20"/>
              </w:rPr>
            </w:pPr>
            <w:r w:rsidRPr="00D948EA">
              <w:rPr>
                <w:color w:val="000000"/>
                <w:sz w:val="20"/>
                <w:szCs w:val="20"/>
              </w:rPr>
              <w:t>-6</w:t>
            </w:r>
          </w:p>
        </w:tc>
        <w:tc>
          <w:tcPr>
            <w:tcW w:w="803" w:type="dxa"/>
            <w:tcBorders>
              <w:top w:val="nil"/>
              <w:left w:val="single" w:sz="4" w:space="0" w:color="auto"/>
              <w:bottom w:val="nil"/>
              <w:right w:val="nil"/>
            </w:tcBorders>
            <w:shd w:val="clear" w:color="auto" w:fill="auto"/>
            <w:vAlign w:val="bottom"/>
          </w:tcPr>
          <w:p w14:paraId="13B138B2" w14:textId="77777777" w:rsidR="00FE3795" w:rsidRPr="00D948EA" w:rsidRDefault="00FE3795" w:rsidP="00FE3795">
            <w:pPr>
              <w:keepNext/>
              <w:keepLines/>
              <w:spacing w:after="0" w:line="240" w:lineRule="auto"/>
              <w:rPr>
                <w:color w:val="000000"/>
                <w:sz w:val="20"/>
                <w:szCs w:val="20"/>
              </w:rPr>
            </w:pPr>
            <w:r w:rsidRPr="00D948EA">
              <w:rPr>
                <w:color w:val="000000"/>
                <w:sz w:val="20"/>
                <w:szCs w:val="20"/>
              </w:rPr>
              <w:t>-0.6</w:t>
            </w:r>
          </w:p>
        </w:tc>
      </w:tr>
      <w:tr w:rsidR="008E3A50" w:rsidRPr="00A1769A" w14:paraId="4E36D2D7" w14:textId="77777777" w:rsidTr="00D948EA">
        <w:trPr>
          <w:cantSplit/>
          <w:trHeight w:val="249"/>
          <w:jc w:val="center"/>
        </w:trPr>
        <w:tc>
          <w:tcPr>
            <w:tcW w:w="3828" w:type="dxa"/>
            <w:tcBorders>
              <w:top w:val="nil"/>
              <w:left w:val="nil"/>
              <w:bottom w:val="nil"/>
              <w:right w:val="single" w:sz="4" w:space="0" w:color="auto"/>
            </w:tcBorders>
            <w:shd w:val="clear" w:color="auto" w:fill="auto"/>
            <w:noWrap/>
            <w:vAlign w:val="bottom"/>
          </w:tcPr>
          <w:p w14:paraId="653CAD53" w14:textId="77777777" w:rsidR="00FE3795" w:rsidRPr="00D948EA" w:rsidRDefault="00FE3795" w:rsidP="00FE3795">
            <w:pPr>
              <w:keepNext/>
              <w:keepLines/>
              <w:spacing w:after="0" w:line="240" w:lineRule="auto"/>
              <w:jc w:val="right"/>
              <w:rPr>
                <w:rFonts w:eastAsia="Times New Roman" w:cs="Times New Roman"/>
                <w:color w:val="000000"/>
                <w:sz w:val="20"/>
                <w:szCs w:val="20"/>
                <w:lang w:eastAsia="en-NZ"/>
              </w:rPr>
            </w:pPr>
            <w:r w:rsidRPr="00D948EA">
              <w:rPr>
                <w:color w:val="000000"/>
                <w:sz w:val="20"/>
                <w:szCs w:val="20"/>
              </w:rPr>
              <w:t>Other digestive system</w:t>
            </w:r>
          </w:p>
        </w:tc>
        <w:tc>
          <w:tcPr>
            <w:tcW w:w="850" w:type="dxa"/>
            <w:tcBorders>
              <w:top w:val="nil"/>
              <w:left w:val="single" w:sz="4" w:space="0" w:color="auto"/>
              <w:bottom w:val="nil"/>
              <w:right w:val="single" w:sz="4" w:space="0" w:color="auto"/>
            </w:tcBorders>
            <w:shd w:val="clear" w:color="auto" w:fill="auto"/>
            <w:noWrap/>
            <w:vAlign w:val="bottom"/>
          </w:tcPr>
          <w:p w14:paraId="63D241EF" w14:textId="77777777" w:rsidR="00FE3795" w:rsidRPr="00D948EA" w:rsidRDefault="00FE3795" w:rsidP="00FE3795">
            <w:pPr>
              <w:keepNext/>
              <w:keepLines/>
              <w:spacing w:after="0" w:line="240" w:lineRule="auto"/>
              <w:jc w:val="right"/>
              <w:rPr>
                <w:rFonts w:eastAsia="Times New Roman" w:cs="Times New Roman"/>
                <w:color w:val="000000"/>
                <w:sz w:val="20"/>
                <w:szCs w:val="20"/>
                <w:lang w:eastAsia="en-NZ"/>
              </w:rPr>
            </w:pPr>
            <w:r w:rsidRPr="00D948EA">
              <w:rPr>
                <w:bCs/>
                <w:color w:val="000000"/>
                <w:sz w:val="20"/>
                <w:szCs w:val="20"/>
              </w:rPr>
              <w:t>-10</w:t>
            </w:r>
          </w:p>
        </w:tc>
        <w:tc>
          <w:tcPr>
            <w:tcW w:w="851" w:type="dxa"/>
            <w:tcBorders>
              <w:top w:val="nil"/>
              <w:left w:val="single" w:sz="4" w:space="0" w:color="auto"/>
              <w:bottom w:val="nil"/>
              <w:right w:val="single" w:sz="4" w:space="0" w:color="auto"/>
            </w:tcBorders>
            <w:shd w:val="clear" w:color="auto" w:fill="auto"/>
            <w:vAlign w:val="bottom"/>
          </w:tcPr>
          <w:p w14:paraId="14386689" w14:textId="77777777" w:rsidR="00FE3795" w:rsidRPr="00D948EA" w:rsidRDefault="00FE3795" w:rsidP="00FE3795">
            <w:pPr>
              <w:keepNext/>
              <w:keepLines/>
              <w:spacing w:after="0" w:line="240" w:lineRule="auto"/>
              <w:rPr>
                <w:color w:val="000000"/>
                <w:sz w:val="20"/>
                <w:szCs w:val="20"/>
              </w:rPr>
            </w:pPr>
            <w:r w:rsidRPr="00D948EA">
              <w:rPr>
                <w:bCs/>
                <w:color w:val="000000"/>
                <w:sz w:val="20"/>
                <w:szCs w:val="20"/>
              </w:rPr>
              <w:t>-7.8</w:t>
            </w:r>
          </w:p>
        </w:tc>
        <w:tc>
          <w:tcPr>
            <w:tcW w:w="992" w:type="dxa"/>
            <w:tcBorders>
              <w:top w:val="nil"/>
              <w:left w:val="single" w:sz="4" w:space="0" w:color="auto"/>
              <w:bottom w:val="nil"/>
              <w:right w:val="single" w:sz="4" w:space="0" w:color="auto"/>
            </w:tcBorders>
            <w:shd w:val="clear" w:color="auto" w:fill="auto"/>
            <w:vAlign w:val="bottom"/>
          </w:tcPr>
          <w:p w14:paraId="52C26126" w14:textId="77777777" w:rsidR="00FE3795" w:rsidRPr="00D948EA" w:rsidRDefault="00FE3795" w:rsidP="00FE3795">
            <w:pPr>
              <w:keepNext/>
              <w:keepLines/>
              <w:spacing w:after="0" w:line="240" w:lineRule="auto"/>
              <w:jc w:val="right"/>
              <w:rPr>
                <w:color w:val="000000"/>
                <w:sz w:val="20"/>
                <w:szCs w:val="20"/>
              </w:rPr>
            </w:pPr>
            <w:r w:rsidRPr="00D948EA">
              <w:rPr>
                <w:color w:val="000000"/>
                <w:sz w:val="20"/>
                <w:szCs w:val="20"/>
              </w:rPr>
              <w:t>-50</w:t>
            </w:r>
          </w:p>
        </w:tc>
        <w:tc>
          <w:tcPr>
            <w:tcW w:w="867" w:type="dxa"/>
            <w:tcBorders>
              <w:top w:val="nil"/>
              <w:left w:val="single" w:sz="4" w:space="0" w:color="auto"/>
              <w:bottom w:val="nil"/>
              <w:right w:val="single" w:sz="18" w:space="0" w:color="auto"/>
            </w:tcBorders>
            <w:shd w:val="clear" w:color="auto" w:fill="auto"/>
            <w:noWrap/>
            <w:vAlign w:val="bottom"/>
          </w:tcPr>
          <w:p w14:paraId="0615BE4F" w14:textId="77777777" w:rsidR="00FE3795" w:rsidRPr="00D948EA" w:rsidRDefault="00FE3795" w:rsidP="00FE3795">
            <w:pPr>
              <w:keepNext/>
              <w:keepLines/>
              <w:spacing w:after="0" w:line="240" w:lineRule="auto"/>
              <w:rPr>
                <w:rFonts w:eastAsia="Times New Roman" w:cs="Times New Roman"/>
                <w:color w:val="000000"/>
                <w:sz w:val="20"/>
                <w:szCs w:val="20"/>
                <w:lang w:eastAsia="en-NZ"/>
              </w:rPr>
            </w:pPr>
            <w:r w:rsidRPr="00D948EA">
              <w:rPr>
                <w:color w:val="000000"/>
                <w:sz w:val="20"/>
                <w:szCs w:val="20"/>
              </w:rPr>
              <w:t>-38.8</w:t>
            </w:r>
          </w:p>
        </w:tc>
        <w:tc>
          <w:tcPr>
            <w:tcW w:w="963" w:type="dxa"/>
            <w:tcBorders>
              <w:top w:val="nil"/>
              <w:left w:val="single" w:sz="18" w:space="0" w:color="auto"/>
              <w:bottom w:val="nil"/>
              <w:right w:val="single" w:sz="4" w:space="0" w:color="auto"/>
            </w:tcBorders>
            <w:shd w:val="clear" w:color="auto" w:fill="auto"/>
            <w:vAlign w:val="bottom"/>
          </w:tcPr>
          <w:p w14:paraId="0B328577" w14:textId="77777777" w:rsidR="00FE3795" w:rsidRPr="00D948EA" w:rsidRDefault="00FE3795" w:rsidP="00FE3795">
            <w:pPr>
              <w:keepNext/>
              <w:keepLines/>
              <w:spacing w:after="0" w:line="240" w:lineRule="auto"/>
              <w:jc w:val="right"/>
              <w:rPr>
                <w:color w:val="000000"/>
                <w:sz w:val="20"/>
                <w:szCs w:val="20"/>
              </w:rPr>
            </w:pPr>
            <w:r w:rsidRPr="00D948EA">
              <w:rPr>
                <w:color w:val="000000"/>
                <w:sz w:val="20"/>
                <w:szCs w:val="20"/>
              </w:rPr>
              <w:t>-5</w:t>
            </w:r>
          </w:p>
        </w:tc>
        <w:tc>
          <w:tcPr>
            <w:tcW w:w="803" w:type="dxa"/>
            <w:tcBorders>
              <w:top w:val="nil"/>
              <w:left w:val="single" w:sz="4" w:space="0" w:color="auto"/>
              <w:bottom w:val="nil"/>
              <w:right w:val="nil"/>
            </w:tcBorders>
            <w:shd w:val="clear" w:color="auto" w:fill="auto"/>
            <w:vAlign w:val="bottom"/>
          </w:tcPr>
          <w:p w14:paraId="2C36D284" w14:textId="77777777" w:rsidR="00FE3795" w:rsidRPr="00D948EA" w:rsidRDefault="00FE3795" w:rsidP="00FE3795">
            <w:pPr>
              <w:keepNext/>
              <w:keepLines/>
              <w:spacing w:after="0" w:line="240" w:lineRule="auto"/>
              <w:rPr>
                <w:color w:val="000000"/>
                <w:sz w:val="20"/>
                <w:szCs w:val="20"/>
              </w:rPr>
            </w:pPr>
            <w:r w:rsidRPr="00D948EA">
              <w:rPr>
                <w:color w:val="000000"/>
                <w:sz w:val="20"/>
                <w:szCs w:val="20"/>
              </w:rPr>
              <w:t>-1.1</w:t>
            </w:r>
          </w:p>
        </w:tc>
      </w:tr>
      <w:tr w:rsidR="008E3A50" w:rsidRPr="00A1769A" w14:paraId="53446C6A" w14:textId="77777777" w:rsidTr="00D948EA">
        <w:trPr>
          <w:cantSplit/>
          <w:trHeight w:val="249"/>
          <w:jc w:val="center"/>
        </w:trPr>
        <w:tc>
          <w:tcPr>
            <w:tcW w:w="3828" w:type="dxa"/>
            <w:tcBorders>
              <w:top w:val="nil"/>
              <w:left w:val="nil"/>
              <w:bottom w:val="nil"/>
              <w:right w:val="single" w:sz="4" w:space="0" w:color="auto"/>
            </w:tcBorders>
            <w:shd w:val="clear" w:color="auto" w:fill="auto"/>
            <w:noWrap/>
            <w:vAlign w:val="bottom"/>
          </w:tcPr>
          <w:p w14:paraId="2843677C" w14:textId="77777777" w:rsidR="00FE3795" w:rsidRPr="00D948EA" w:rsidRDefault="00FE3795" w:rsidP="00FE3795">
            <w:pPr>
              <w:keepNext/>
              <w:keepLines/>
              <w:spacing w:after="0" w:line="240" w:lineRule="auto"/>
              <w:jc w:val="right"/>
              <w:rPr>
                <w:rFonts w:eastAsia="Times New Roman" w:cs="Times New Roman"/>
                <w:color w:val="000000"/>
                <w:sz w:val="20"/>
                <w:szCs w:val="20"/>
                <w:lang w:eastAsia="en-NZ"/>
              </w:rPr>
            </w:pPr>
            <w:r w:rsidRPr="00D948EA">
              <w:rPr>
                <w:color w:val="000000"/>
                <w:sz w:val="20"/>
                <w:szCs w:val="20"/>
              </w:rPr>
              <w:t>Respiratory and thorax</w:t>
            </w:r>
          </w:p>
        </w:tc>
        <w:tc>
          <w:tcPr>
            <w:tcW w:w="850" w:type="dxa"/>
            <w:tcBorders>
              <w:top w:val="nil"/>
              <w:left w:val="single" w:sz="4" w:space="0" w:color="auto"/>
              <w:bottom w:val="nil"/>
              <w:right w:val="single" w:sz="4" w:space="0" w:color="auto"/>
            </w:tcBorders>
            <w:shd w:val="clear" w:color="auto" w:fill="auto"/>
            <w:noWrap/>
            <w:vAlign w:val="bottom"/>
          </w:tcPr>
          <w:p w14:paraId="3CE5D0AC" w14:textId="77777777" w:rsidR="00FE3795" w:rsidRPr="00D948EA" w:rsidRDefault="00FE3795" w:rsidP="00FE3795">
            <w:pPr>
              <w:keepNext/>
              <w:keepLines/>
              <w:spacing w:after="0" w:line="240" w:lineRule="auto"/>
              <w:jc w:val="right"/>
              <w:rPr>
                <w:rFonts w:eastAsia="Times New Roman" w:cs="Times New Roman"/>
                <w:color w:val="000000"/>
                <w:sz w:val="20"/>
                <w:szCs w:val="20"/>
                <w:lang w:eastAsia="en-NZ"/>
              </w:rPr>
            </w:pPr>
            <w:r w:rsidRPr="00D948EA">
              <w:rPr>
                <w:bCs/>
                <w:color w:val="000000"/>
                <w:sz w:val="20"/>
                <w:szCs w:val="20"/>
              </w:rPr>
              <w:t>-9</w:t>
            </w:r>
          </w:p>
        </w:tc>
        <w:tc>
          <w:tcPr>
            <w:tcW w:w="851" w:type="dxa"/>
            <w:tcBorders>
              <w:top w:val="nil"/>
              <w:left w:val="single" w:sz="4" w:space="0" w:color="auto"/>
              <w:bottom w:val="nil"/>
              <w:right w:val="single" w:sz="4" w:space="0" w:color="auto"/>
            </w:tcBorders>
            <w:shd w:val="clear" w:color="auto" w:fill="auto"/>
            <w:vAlign w:val="bottom"/>
          </w:tcPr>
          <w:p w14:paraId="57831B0B" w14:textId="77777777" w:rsidR="00FE3795" w:rsidRPr="00D948EA" w:rsidRDefault="00FE3795" w:rsidP="00FE3795">
            <w:pPr>
              <w:keepNext/>
              <w:keepLines/>
              <w:spacing w:after="0" w:line="240" w:lineRule="auto"/>
              <w:rPr>
                <w:color w:val="000000"/>
                <w:sz w:val="20"/>
                <w:szCs w:val="20"/>
              </w:rPr>
            </w:pPr>
            <w:r w:rsidRPr="00D948EA">
              <w:rPr>
                <w:bCs/>
                <w:color w:val="000000"/>
                <w:sz w:val="20"/>
                <w:szCs w:val="20"/>
              </w:rPr>
              <w:t>-5.5</w:t>
            </w:r>
          </w:p>
        </w:tc>
        <w:tc>
          <w:tcPr>
            <w:tcW w:w="992" w:type="dxa"/>
            <w:tcBorders>
              <w:top w:val="nil"/>
              <w:left w:val="single" w:sz="4" w:space="0" w:color="auto"/>
              <w:bottom w:val="nil"/>
              <w:right w:val="single" w:sz="4" w:space="0" w:color="auto"/>
            </w:tcBorders>
            <w:shd w:val="clear" w:color="auto" w:fill="auto"/>
            <w:vAlign w:val="bottom"/>
          </w:tcPr>
          <w:p w14:paraId="5BB1568D" w14:textId="77777777" w:rsidR="00FE3795" w:rsidRPr="00D948EA" w:rsidRDefault="00FE3795" w:rsidP="00FE3795">
            <w:pPr>
              <w:keepNext/>
              <w:keepLines/>
              <w:spacing w:after="0" w:line="240" w:lineRule="auto"/>
              <w:jc w:val="right"/>
              <w:rPr>
                <w:color w:val="000000"/>
                <w:sz w:val="20"/>
                <w:szCs w:val="20"/>
              </w:rPr>
            </w:pPr>
            <w:r w:rsidRPr="00D948EA">
              <w:rPr>
                <w:color w:val="000000"/>
                <w:sz w:val="20"/>
                <w:szCs w:val="20"/>
              </w:rPr>
              <w:t>-29</w:t>
            </w:r>
          </w:p>
        </w:tc>
        <w:tc>
          <w:tcPr>
            <w:tcW w:w="867" w:type="dxa"/>
            <w:tcBorders>
              <w:top w:val="nil"/>
              <w:left w:val="single" w:sz="4" w:space="0" w:color="auto"/>
              <w:bottom w:val="nil"/>
              <w:right w:val="single" w:sz="18" w:space="0" w:color="auto"/>
            </w:tcBorders>
            <w:shd w:val="clear" w:color="auto" w:fill="auto"/>
            <w:noWrap/>
            <w:vAlign w:val="bottom"/>
          </w:tcPr>
          <w:p w14:paraId="3D524C18" w14:textId="77777777" w:rsidR="00FE3795" w:rsidRPr="00D948EA" w:rsidRDefault="00FE3795" w:rsidP="00FE3795">
            <w:pPr>
              <w:keepNext/>
              <w:keepLines/>
              <w:spacing w:after="0" w:line="240" w:lineRule="auto"/>
              <w:rPr>
                <w:rFonts w:eastAsia="Times New Roman" w:cs="Times New Roman"/>
                <w:color w:val="000000"/>
                <w:sz w:val="20"/>
                <w:szCs w:val="20"/>
                <w:lang w:eastAsia="en-NZ"/>
              </w:rPr>
            </w:pPr>
            <w:r w:rsidRPr="00D948EA">
              <w:rPr>
                <w:color w:val="000000"/>
                <w:sz w:val="20"/>
                <w:szCs w:val="20"/>
              </w:rPr>
              <w:t>-20.1</w:t>
            </w:r>
          </w:p>
        </w:tc>
        <w:tc>
          <w:tcPr>
            <w:tcW w:w="963" w:type="dxa"/>
            <w:tcBorders>
              <w:top w:val="nil"/>
              <w:left w:val="single" w:sz="18" w:space="0" w:color="auto"/>
              <w:bottom w:val="nil"/>
              <w:right w:val="single" w:sz="4" w:space="0" w:color="auto"/>
            </w:tcBorders>
            <w:shd w:val="clear" w:color="auto" w:fill="auto"/>
            <w:vAlign w:val="bottom"/>
          </w:tcPr>
          <w:p w14:paraId="193E0BA3" w14:textId="77777777" w:rsidR="00FE3795" w:rsidRPr="00D948EA" w:rsidRDefault="00FE3795" w:rsidP="00FE3795">
            <w:pPr>
              <w:keepNext/>
              <w:keepLines/>
              <w:spacing w:after="0" w:line="240" w:lineRule="auto"/>
              <w:jc w:val="right"/>
              <w:rPr>
                <w:color w:val="000000"/>
                <w:sz w:val="20"/>
                <w:szCs w:val="20"/>
              </w:rPr>
            </w:pPr>
            <w:r w:rsidRPr="00D948EA">
              <w:rPr>
                <w:color w:val="000000"/>
                <w:sz w:val="20"/>
                <w:szCs w:val="20"/>
              </w:rPr>
              <w:t>-5</w:t>
            </w:r>
          </w:p>
        </w:tc>
        <w:tc>
          <w:tcPr>
            <w:tcW w:w="803" w:type="dxa"/>
            <w:tcBorders>
              <w:top w:val="nil"/>
              <w:left w:val="single" w:sz="4" w:space="0" w:color="auto"/>
              <w:bottom w:val="nil"/>
              <w:right w:val="nil"/>
            </w:tcBorders>
            <w:shd w:val="clear" w:color="auto" w:fill="auto"/>
            <w:vAlign w:val="bottom"/>
          </w:tcPr>
          <w:p w14:paraId="7C513AA9" w14:textId="77777777" w:rsidR="00FE3795" w:rsidRPr="00D948EA" w:rsidRDefault="00FE3795" w:rsidP="00FE3795">
            <w:pPr>
              <w:keepNext/>
              <w:keepLines/>
              <w:spacing w:after="0" w:line="240" w:lineRule="auto"/>
              <w:rPr>
                <w:color w:val="000000"/>
                <w:sz w:val="20"/>
                <w:szCs w:val="20"/>
              </w:rPr>
            </w:pPr>
            <w:r w:rsidRPr="00D948EA">
              <w:rPr>
                <w:color w:val="000000"/>
                <w:sz w:val="20"/>
                <w:szCs w:val="20"/>
              </w:rPr>
              <w:t>-0.9</w:t>
            </w:r>
          </w:p>
        </w:tc>
      </w:tr>
      <w:tr w:rsidR="008E3A50" w:rsidRPr="00A1769A" w14:paraId="0D001161" w14:textId="77777777" w:rsidTr="00D948EA">
        <w:trPr>
          <w:cantSplit/>
          <w:trHeight w:val="83"/>
          <w:jc w:val="center"/>
        </w:trPr>
        <w:tc>
          <w:tcPr>
            <w:tcW w:w="3828" w:type="dxa"/>
            <w:tcBorders>
              <w:top w:val="nil"/>
              <w:left w:val="nil"/>
              <w:right w:val="single" w:sz="4" w:space="0" w:color="auto"/>
            </w:tcBorders>
            <w:shd w:val="clear" w:color="auto" w:fill="auto"/>
            <w:noWrap/>
            <w:vAlign w:val="bottom"/>
          </w:tcPr>
          <w:p w14:paraId="030004A4" w14:textId="77777777" w:rsidR="00FE3795" w:rsidRPr="00D948EA" w:rsidRDefault="00FE3795" w:rsidP="00FE3795">
            <w:pPr>
              <w:keepNext/>
              <w:keepLines/>
              <w:spacing w:after="0" w:line="240" w:lineRule="auto"/>
              <w:jc w:val="right"/>
              <w:rPr>
                <w:rFonts w:eastAsia="Times New Roman" w:cs="Times New Roman"/>
                <w:color w:val="000000"/>
                <w:sz w:val="20"/>
                <w:szCs w:val="20"/>
                <w:lang w:eastAsia="en-NZ"/>
              </w:rPr>
            </w:pPr>
            <w:r w:rsidRPr="00D948EA">
              <w:rPr>
                <w:color w:val="000000"/>
                <w:sz w:val="20"/>
                <w:szCs w:val="20"/>
              </w:rPr>
              <w:t>Cervix</w:t>
            </w:r>
          </w:p>
        </w:tc>
        <w:tc>
          <w:tcPr>
            <w:tcW w:w="850" w:type="dxa"/>
            <w:tcBorders>
              <w:top w:val="nil"/>
              <w:left w:val="single" w:sz="4" w:space="0" w:color="auto"/>
              <w:right w:val="single" w:sz="4" w:space="0" w:color="auto"/>
            </w:tcBorders>
            <w:shd w:val="clear" w:color="auto" w:fill="auto"/>
            <w:noWrap/>
            <w:vAlign w:val="bottom"/>
          </w:tcPr>
          <w:p w14:paraId="32BEAACC" w14:textId="77777777" w:rsidR="00FE3795" w:rsidRPr="00D948EA" w:rsidRDefault="00FE3795" w:rsidP="00FE3795">
            <w:pPr>
              <w:keepNext/>
              <w:keepLines/>
              <w:spacing w:after="0" w:line="240" w:lineRule="auto"/>
              <w:jc w:val="right"/>
              <w:rPr>
                <w:rFonts w:eastAsia="Times New Roman" w:cs="Times New Roman"/>
                <w:color w:val="000000"/>
                <w:sz w:val="20"/>
                <w:szCs w:val="20"/>
                <w:lang w:eastAsia="en-NZ"/>
              </w:rPr>
            </w:pPr>
            <w:r w:rsidRPr="00D948EA">
              <w:rPr>
                <w:bCs/>
                <w:color w:val="000000"/>
                <w:sz w:val="20"/>
                <w:szCs w:val="20"/>
              </w:rPr>
              <w:t>15</w:t>
            </w:r>
          </w:p>
        </w:tc>
        <w:tc>
          <w:tcPr>
            <w:tcW w:w="851" w:type="dxa"/>
            <w:tcBorders>
              <w:top w:val="nil"/>
              <w:left w:val="single" w:sz="4" w:space="0" w:color="auto"/>
              <w:right w:val="single" w:sz="4" w:space="0" w:color="auto"/>
            </w:tcBorders>
            <w:shd w:val="clear" w:color="auto" w:fill="auto"/>
            <w:vAlign w:val="bottom"/>
          </w:tcPr>
          <w:p w14:paraId="57AB15D3" w14:textId="77777777" w:rsidR="00FE3795" w:rsidRPr="00D948EA" w:rsidRDefault="00FE3795" w:rsidP="00FE3795">
            <w:pPr>
              <w:keepNext/>
              <w:keepLines/>
              <w:spacing w:after="0" w:line="240" w:lineRule="auto"/>
              <w:rPr>
                <w:color w:val="000000"/>
                <w:sz w:val="20"/>
                <w:szCs w:val="20"/>
              </w:rPr>
            </w:pPr>
            <w:r w:rsidRPr="00D948EA">
              <w:rPr>
                <w:bCs/>
                <w:color w:val="000000"/>
                <w:sz w:val="20"/>
                <w:szCs w:val="20"/>
              </w:rPr>
              <w:t>10.3</w:t>
            </w:r>
          </w:p>
        </w:tc>
        <w:tc>
          <w:tcPr>
            <w:tcW w:w="992" w:type="dxa"/>
            <w:tcBorders>
              <w:top w:val="nil"/>
              <w:left w:val="single" w:sz="4" w:space="0" w:color="auto"/>
              <w:right w:val="single" w:sz="4" w:space="0" w:color="auto"/>
            </w:tcBorders>
            <w:shd w:val="clear" w:color="auto" w:fill="auto"/>
            <w:vAlign w:val="bottom"/>
          </w:tcPr>
          <w:p w14:paraId="59711598" w14:textId="77777777" w:rsidR="00FE3795" w:rsidRPr="00D948EA" w:rsidRDefault="00FE3795" w:rsidP="00FE3795">
            <w:pPr>
              <w:keepNext/>
              <w:keepLines/>
              <w:spacing w:after="0" w:line="240" w:lineRule="auto"/>
              <w:jc w:val="right"/>
              <w:rPr>
                <w:color w:val="000000"/>
                <w:sz w:val="20"/>
                <w:szCs w:val="20"/>
              </w:rPr>
            </w:pPr>
            <w:r w:rsidRPr="00D948EA">
              <w:rPr>
                <w:color w:val="000000"/>
                <w:sz w:val="20"/>
                <w:szCs w:val="20"/>
              </w:rPr>
              <w:t>-94</w:t>
            </w:r>
          </w:p>
        </w:tc>
        <w:tc>
          <w:tcPr>
            <w:tcW w:w="867" w:type="dxa"/>
            <w:tcBorders>
              <w:top w:val="nil"/>
              <w:left w:val="single" w:sz="4" w:space="0" w:color="auto"/>
              <w:right w:val="single" w:sz="18" w:space="0" w:color="auto"/>
            </w:tcBorders>
            <w:shd w:val="clear" w:color="auto" w:fill="auto"/>
            <w:noWrap/>
            <w:vAlign w:val="bottom"/>
          </w:tcPr>
          <w:p w14:paraId="62564F2B" w14:textId="77777777" w:rsidR="00FE3795" w:rsidRPr="00D948EA" w:rsidRDefault="00FE3795" w:rsidP="00FE3795">
            <w:pPr>
              <w:keepNext/>
              <w:keepLines/>
              <w:spacing w:after="0" w:line="240" w:lineRule="auto"/>
              <w:rPr>
                <w:rFonts w:eastAsia="Times New Roman" w:cs="Times New Roman"/>
                <w:color w:val="000000"/>
                <w:sz w:val="20"/>
                <w:szCs w:val="20"/>
                <w:lang w:eastAsia="en-NZ"/>
              </w:rPr>
            </w:pPr>
            <w:r w:rsidRPr="00D948EA">
              <w:rPr>
                <w:color w:val="000000"/>
                <w:sz w:val="20"/>
                <w:szCs w:val="20"/>
              </w:rPr>
              <w:t>-58.4</w:t>
            </w:r>
          </w:p>
        </w:tc>
        <w:tc>
          <w:tcPr>
            <w:tcW w:w="963" w:type="dxa"/>
            <w:tcBorders>
              <w:top w:val="nil"/>
              <w:left w:val="single" w:sz="18" w:space="0" w:color="auto"/>
              <w:right w:val="single" w:sz="4" w:space="0" w:color="auto"/>
            </w:tcBorders>
            <w:shd w:val="clear" w:color="auto" w:fill="auto"/>
            <w:vAlign w:val="bottom"/>
          </w:tcPr>
          <w:p w14:paraId="2428147E" w14:textId="77777777" w:rsidR="00FE3795" w:rsidRPr="00D948EA" w:rsidRDefault="00FE3795" w:rsidP="00FE3795">
            <w:pPr>
              <w:keepNext/>
              <w:keepLines/>
              <w:spacing w:after="0" w:line="240" w:lineRule="auto"/>
              <w:jc w:val="right"/>
              <w:rPr>
                <w:color w:val="000000"/>
                <w:sz w:val="20"/>
                <w:szCs w:val="20"/>
              </w:rPr>
            </w:pPr>
            <w:r w:rsidRPr="00D948EA">
              <w:rPr>
                <w:color w:val="000000"/>
                <w:sz w:val="20"/>
                <w:szCs w:val="20"/>
              </w:rPr>
              <w:t>13</w:t>
            </w:r>
          </w:p>
        </w:tc>
        <w:tc>
          <w:tcPr>
            <w:tcW w:w="803" w:type="dxa"/>
            <w:tcBorders>
              <w:top w:val="nil"/>
              <w:left w:val="single" w:sz="4" w:space="0" w:color="auto"/>
              <w:right w:val="nil"/>
            </w:tcBorders>
            <w:shd w:val="clear" w:color="auto" w:fill="auto"/>
            <w:vAlign w:val="bottom"/>
          </w:tcPr>
          <w:p w14:paraId="30A6E085" w14:textId="77777777" w:rsidR="00FE3795" w:rsidRPr="00D948EA" w:rsidRDefault="00FE3795" w:rsidP="00FE3795">
            <w:pPr>
              <w:keepNext/>
              <w:keepLines/>
              <w:spacing w:after="0" w:line="240" w:lineRule="auto"/>
              <w:rPr>
                <w:color w:val="000000"/>
                <w:sz w:val="20"/>
                <w:szCs w:val="20"/>
              </w:rPr>
            </w:pPr>
            <w:r w:rsidRPr="00D948EA">
              <w:rPr>
                <w:color w:val="000000"/>
                <w:sz w:val="20"/>
                <w:szCs w:val="20"/>
              </w:rPr>
              <w:t>2.3</w:t>
            </w:r>
          </w:p>
        </w:tc>
      </w:tr>
      <w:tr w:rsidR="008E3A50" w:rsidRPr="00A1769A" w14:paraId="1C9FC2EA" w14:textId="77777777" w:rsidTr="00D948EA">
        <w:trPr>
          <w:cantSplit/>
          <w:trHeight w:val="249"/>
          <w:jc w:val="center"/>
        </w:trPr>
        <w:tc>
          <w:tcPr>
            <w:tcW w:w="3828" w:type="dxa"/>
            <w:tcBorders>
              <w:top w:val="nil"/>
              <w:left w:val="nil"/>
              <w:bottom w:val="single" w:sz="4" w:space="0" w:color="auto"/>
              <w:right w:val="single" w:sz="4" w:space="0" w:color="auto"/>
            </w:tcBorders>
            <w:shd w:val="clear" w:color="auto" w:fill="auto"/>
            <w:noWrap/>
            <w:vAlign w:val="bottom"/>
          </w:tcPr>
          <w:p w14:paraId="56A77F84" w14:textId="77777777" w:rsidR="00FE3795" w:rsidRPr="00D948EA" w:rsidRDefault="00FE3795" w:rsidP="00FE3795">
            <w:pPr>
              <w:keepNext/>
              <w:keepLines/>
              <w:spacing w:after="0" w:line="240" w:lineRule="auto"/>
              <w:jc w:val="right"/>
              <w:rPr>
                <w:rFonts w:eastAsia="Times New Roman" w:cs="Times New Roman"/>
                <w:color w:val="000000"/>
                <w:sz w:val="20"/>
                <w:szCs w:val="20"/>
                <w:lang w:eastAsia="en-NZ"/>
              </w:rPr>
            </w:pPr>
            <w:r w:rsidRPr="00D948EA">
              <w:rPr>
                <w:color w:val="000000"/>
                <w:sz w:val="20"/>
                <w:szCs w:val="20"/>
              </w:rPr>
              <w:t>Gynaecology</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72D3DD84" w14:textId="77777777" w:rsidR="00FE3795" w:rsidRPr="00D948EA" w:rsidRDefault="00FE3795" w:rsidP="00FE3795">
            <w:pPr>
              <w:keepNext/>
              <w:keepLines/>
              <w:spacing w:after="0" w:line="240" w:lineRule="auto"/>
              <w:jc w:val="right"/>
              <w:rPr>
                <w:rFonts w:eastAsia="Times New Roman" w:cs="Times New Roman"/>
                <w:color w:val="000000"/>
                <w:sz w:val="20"/>
                <w:szCs w:val="20"/>
                <w:lang w:eastAsia="en-NZ"/>
              </w:rPr>
            </w:pPr>
            <w:r w:rsidRPr="00D948EA">
              <w:rPr>
                <w:bCs/>
                <w:color w:val="000000"/>
                <w:sz w:val="20"/>
                <w:szCs w:val="20"/>
              </w:rPr>
              <w:t>18</w:t>
            </w:r>
          </w:p>
        </w:tc>
        <w:tc>
          <w:tcPr>
            <w:tcW w:w="851" w:type="dxa"/>
            <w:tcBorders>
              <w:top w:val="nil"/>
              <w:left w:val="single" w:sz="4" w:space="0" w:color="auto"/>
              <w:bottom w:val="single" w:sz="4" w:space="0" w:color="auto"/>
              <w:right w:val="single" w:sz="4" w:space="0" w:color="auto"/>
            </w:tcBorders>
            <w:shd w:val="clear" w:color="auto" w:fill="auto"/>
            <w:vAlign w:val="bottom"/>
          </w:tcPr>
          <w:p w14:paraId="44E606BE" w14:textId="77777777" w:rsidR="00FE3795" w:rsidRPr="00D948EA" w:rsidRDefault="00FE3795" w:rsidP="00FE3795">
            <w:pPr>
              <w:keepNext/>
              <w:keepLines/>
              <w:spacing w:after="0" w:line="240" w:lineRule="auto"/>
              <w:rPr>
                <w:color w:val="000000"/>
                <w:sz w:val="20"/>
                <w:szCs w:val="20"/>
              </w:rPr>
            </w:pPr>
            <w:r w:rsidRPr="00D948EA">
              <w:rPr>
                <w:bCs/>
                <w:color w:val="000000"/>
                <w:sz w:val="20"/>
                <w:szCs w:val="20"/>
              </w:rPr>
              <w:t>20.2</w:t>
            </w:r>
          </w:p>
        </w:tc>
        <w:tc>
          <w:tcPr>
            <w:tcW w:w="992" w:type="dxa"/>
            <w:tcBorders>
              <w:top w:val="nil"/>
              <w:left w:val="single" w:sz="4" w:space="0" w:color="auto"/>
              <w:bottom w:val="single" w:sz="4" w:space="0" w:color="auto"/>
              <w:right w:val="single" w:sz="4" w:space="0" w:color="auto"/>
            </w:tcBorders>
            <w:shd w:val="clear" w:color="auto" w:fill="auto"/>
            <w:vAlign w:val="bottom"/>
          </w:tcPr>
          <w:p w14:paraId="479D6F2E" w14:textId="77777777" w:rsidR="00FE3795" w:rsidRPr="00D948EA" w:rsidRDefault="00FE3795" w:rsidP="00FE3795">
            <w:pPr>
              <w:keepNext/>
              <w:keepLines/>
              <w:spacing w:after="0" w:line="240" w:lineRule="auto"/>
              <w:jc w:val="right"/>
              <w:rPr>
                <w:color w:val="000000"/>
                <w:sz w:val="20"/>
                <w:szCs w:val="20"/>
              </w:rPr>
            </w:pPr>
            <w:r w:rsidRPr="00D948EA">
              <w:rPr>
                <w:color w:val="000000"/>
                <w:sz w:val="20"/>
                <w:szCs w:val="20"/>
              </w:rPr>
              <w:t>-26</w:t>
            </w:r>
          </w:p>
        </w:tc>
        <w:tc>
          <w:tcPr>
            <w:tcW w:w="867" w:type="dxa"/>
            <w:tcBorders>
              <w:top w:val="nil"/>
              <w:left w:val="single" w:sz="4" w:space="0" w:color="auto"/>
              <w:bottom w:val="single" w:sz="4" w:space="0" w:color="auto"/>
              <w:right w:val="single" w:sz="18" w:space="0" w:color="auto"/>
            </w:tcBorders>
            <w:shd w:val="clear" w:color="auto" w:fill="auto"/>
            <w:noWrap/>
            <w:vAlign w:val="bottom"/>
          </w:tcPr>
          <w:p w14:paraId="7DBF0E79" w14:textId="77777777" w:rsidR="00FE3795" w:rsidRPr="00D948EA" w:rsidRDefault="00FE3795" w:rsidP="00FE3795">
            <w:pPr>
              <w:keepNext/>
              <w:keepLines/>
              <w:spacing w:after="0" w:line="240" w:lineRule="auto"/>
              <w:rPr>
                <w:rFonts w:eastAsia="Times New Roman" w:cs="Times New Roman"/>
                <w:color w:val="000000"/>
                <w:sz w:val="20"/>
                <w:szCs w:val="20"/>
                <w:lang w:eastAsia="en-NZ"/>
              </w:rPr>
            </w:pPr>
            <w:r w:rsidRPr="00D948EA">
              <w:rPr>
                <w:color w:val="000000"/>
                <w:sz w:val="20"/>
                <w:szCs w:val="20"/>
              </w:rPr>
              <w:t>-34.2</w:t>
            </w:r>
          </w:p>
        </w:tc>
        <w:tc>
          <w:tcPr>
            <w:tcW w:w="963" w:type="dxa"/>
            <w:tcBorders>
              <w:top w:val="nil"/>
              <w:left w:val="single" w:sz="18" w:space="0" w:color="auto"/>
              <w:bottom w:val="single" w:sz="4" w:space="0" w:color="auto"/>
              <w:right w:val="single" w:sz="4" w:space="0" w:color="auto"/>
            </w:tcBorders>
            <w:shd w:val="clear" w:color="auto" w:fill="auto"/>
            <w:vAlign w:val="bottom"/>
          </w:tcPr>
          <w:p w14:paraId="259B4533" w14:textId="77777777" w:rsidR="00FE3795" w:rsidRPr="00D948EA" w:rsidRDefault="00FE3795" w:rsidP="00FE3795">
            <w:pPr>
              <w:keepNext/>
              <w:keepLines/>
              <w:spacing w:after="0" w:line="240" w:lineRule="auto"/>
              <w:jc w:val="right"/>
              <w:rPr>
                <w:color w:val="000000"/>
                <w:sz w:val="20"/>
                <w:szCs w:val="20"/>
              </w:rPr>
            </w:pPr>
            <w:r w:rsidRPr="00D948EA">
              <w:rPr>
                <w:color w:val="000000"/>
                <w:sz w:val="20"/>
                <w:szCs w:val="20"/>
              </w:rPr>
              <w:t>18</w:t>
            </w:r>
          </w:p>
        </w:tc>
        <w:tc>
          <w:tcPr>
            <w:tcW w:w="803" w:type="dxa"/>
            <w:tcBorders>
              <w:top w:val="nil"/>
              <w:left w:val="single" w:sz="4" w:space="0" w:color="auto"/>
              <w:bottom w:val="single" w:sz="4" w:space="0" w:color="auto"/>
              <w:right w:val="nil"/>
            </w:tcBorders>
            <w:shd w:val="clear" w:color="auto" w:fill="auto"/>
            <w:vAlign w:val="bottom"/>
          </w:tcPr>
          <w:p w14:paraId="50BA7823" w14:textId="77777777" w:rsidR="00FE3795" w:rsidRPr="00D948EA" w:rsidRDefault="00FE3795" w:rsidP="00FE3795">
            <w:pPr>
              <w:keepNext/>
              <w:keepLines/>
              <w:spacing w:after="0" w:line="240" w:lineRule="auto"/>
              <w:rPr>
                <w:color w:val="000000"/>
                <w:sz w:val="20"/>
                <w:szCs w:val="20"/>
              </w:rPr>
            </w:pPr>
            <w:r w:rsidRPr="00D948EA">
              <w:rPr>
                <w:color w:val="000000"/>
                <w:sz w:val="20"/>
                <w:szCs w:val="20"/>
              </w:rPr>
              <w:t>5.3</w:t>
            </w:r>
          </w:p>
        </w:tc>
      </w:tr>
    </w:tbl>
    <w:p w14:paraId="04C1E6B7" w14:textId="02341372" w:rsidR="00A14D45" w:rsidRDefault="00A14D45" w:rsidP="00A14D45">
      <w:pPr>
        <w:pStyle w:val="Caption"/>
        <w:keepNext/>
        <w:spacing w:before="120"/>
      </w:pPr>
      <w:bookmarkStart w:id="13" w:name="_Ref41411881"/>
      <w:bookmarkStart w:id="14" w:name="_Ref41417479"/>
      <w:r>
        <w:t xml:space="preserve">Figure </w:t>
      </w:r>
      <w:fldSimple w:instr=" SEQ Figure \* ARABIC ">
        <w:r w:rsidR="00CC108E">
          <w:rPr>
            <w:noProof/>
          </w:rPr>
          <w:t>4</w:t>
        </w:r>
      </w:fldSimple>
      <w:bookmarkEnd w:id="13"/>
      <w:r>
        <w:t xml:space="preserve">: </w:t>
      </w:r>
      <w:r w:rsidRPr="00192228">
        <w:t xml:space="preserve"> </w:t>
      </w:r>
      <w:r w:rsidR="00A87412">
        <w:t>N</w:t>
      </w:r>
      <w:r w:rsidRPr="00192228">
        <w:t xml:space="preserve">umber of cancer registrations by month and year, by </w:t>
      </w:r>
      <w:r>
        <w:t>cancer group</w:t>
      </w:r>
      <w:bookmarkEnd w:id="14"/>
    </w:p>
    <w:p w14:paraId="6A680700" w14:textId="3EF5D475" w:rsidR="000F06FC" w:rsidRDefault="00FE3795" w:rsidP="008E3A50">
      <w:pPr>
        <w:tabs>
          <w:tab w:val="left" w:pos="3261"/>
        </w:tabs>
        <w:jc w:val="center"/>
      </w:pPr>
      <w:r>
        <w:rPr>
          <w:noProof/>
        </w:rPr>
        <w:drawing>
          <wp:inline distT="0" distB="0" distL="0" distR="0" wp14:anchorId="77E4679D" wp14:editId="14848290">
            <wp:extent cx="5238750" cy="61018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ncer type.png"/>
                    <pic:cNvPicPr/>
                  </pic:nvPicPr>
                  <pic:blipFill rotWithShape="1">
                    <a:blip r:embed="rId15">
                      <a:extLst>
                        <a:ext uri="{28A0092B-C50C-407E-A947-70E740481C1C}">
                          <a14:useLocalDpi xmlns:a14="http://schemas.microsoft.com/office/drawing/2010/main" val="0"/>
                        </a:ext>
                      </a:extLst>
                    </a:blip>
                    <a:srcRect t="5777"/>
                    <a:stretch/>
                  </pic:blipFill>
                  <pic:spPr bwMode="auto">
                    <a:xfrm>
                      <a:off x="0" y="0"/>
                      <a:ext cx="5280082" cy="6150012"/>
                    </a:xfrm>
                    <a:prstGeom prst="rect">
                      <a:avLst/>
                    </a:prstGeom>
                    <a:ln>
                      <a:noFill/>
                    </a:ln>
                    <a:extLst>
                      <a:ext uri="{53640926-AAD7-44D8-BBD7-CCE9431645EC}">
                        <a14:shadowObscured xmlns:a14="http://schemas.microsoft.com/office/drawing/2010/main"/>
                      </a:ext>
                    </a:extLst>
                  </pic:spPr>
                </pic:pic>
              </a:graphicData>
            </a:graphic>
          </wp:inline>
        </w:drawing>
      </w:r>
    </w:p>
    <w:p w14:paraId="100A420B" w14:textId="0F96BA05" w:rsidR="006B17C5" w:rsidRDefault="006B17C5" w:rsidP="00A87412">
      <w:pPr>
        <w:pStyle w:val="Caption"/>
        <w:keepNext/>
      </w:pPr>
      <w:bookmarkStart w:id="15" w:name="_Ref41253294"/>
      <w:r>
        <w:lastRenderedPageBreak/>
        <w:t xml:space="preserve">Figure </w:t>
      </w:r>
      <w:fldSimple w:instr=" SEQ Figure \* ARABIC ">
        <w:r w:rsidR="00CC108E">
          <w:rPr>
            <w:noProof/>
          </w:rPr>
          <w:t>5</w:t>
        </w:r>
      </w:fldSimple>
      <w:bookmarkEnd w:id="15"/>
      <w:r>
        <w:t xml:space="preserve">: </w:t>
      </w:r>
      <w:r w:rsidRPr="001C60BA">
        <w:t xml:space="preserve">Cumulative number of cancer registrations </w:t>
      </w:r>
      <w:r w:rsidR="004D5F4D">
        <w:t>by year</w:t>
      </w:r>
      <w:r w:rsidRPr="001C60BA">
        <w:t xml:space="preserve">, </w:t>
      </w:r>
      <w:r w:rsidR="00A87412">
        <w:t>by</w:t>
      </w:r>
      <w:r w:rsidRPr="001C60BA">
        <w:t xml:space="preserve"> </w:t>
      </w:r>
      <w:r>
        <w:t>cancer group</w:t>
      </w:r>
    </w:p>
    <w:p w14:paraId="36188449" w14:textId="42D3A12C" w:rsidR="006B17C5" w:rsidRDefault="006B17C5" w:rsidP="006B17C5">
      <w:pPr>
        <w:jc w:val="center"/>
        <w:rPr>
          <w:noProof/>
        </w:rPr>
      </w:pPr>
      <w:r>
        <w:rPr>
          <w:noProof/>
        </w:rPr>
        <w:drawing>
          <wp:inline distT="0" distB="0" distL="0" distR="0" wp14:anchorId="6597A209" wp14:editId="049FC887">
            <wp:extent cx="5564527" cy="3234906"/>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70593" cy="3238432"/>
                    </a:xfrm>
                    <a:prstGeom prst="rect">
                      <a:avLst/>
                    </a:prstGeom>
                  </pic:spPr>
                </pic:pic>
              </a:graphicData>
            </a:graphic>
          </wp:inline>
        </w:drawing>
      </w:r>
      <w:r w:rsidR="009200E5">
        <w:rPr>
          <w:noProof/>
        </w:rPr>
        <w:drawing>
          <wp:inline distT="0" distB="0" distL="0" distR="0" wp14:anchorId="3FBCE94F" wp14:editId="7C3CE261">
            <wp:extent cx="5687050" cy="3441939"/>
            <wp:effectExtent l="0" t="0" r="952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1110"/>
                    <a:stretch/>
                  </pic:blipFill>
                  <pic:spPr bwMode="auto">
                    <a:xfrm>
                      <a:off x="0" y="0"/>
                      <a:ext cx="5705696" cy="3453224"/>
                    </a:xfrm>
                    <a:prstGeom prst="rect">
                      <a:avLst/>
                    </a:prstGeom>
                    <a:ln>
                      <a:noFill/>
                    </a:ln>
                    <a:extLst>
                      <a:ext uri="{53640926-AAD7-44D8-BBD7-CCE9431645EC}">
                        <a14:shadowObscured xmlns:a14="http://schemas.microsoft.com/office/drawing/2010/main"/>
                      </a:ext>
                    </a:extLst>
                  </pic:spPr>
                </pic:pic>
              </a:graphicData>
            </a:graphic>
          </wp:inline>
        </w:drawing>
      </w:r>
    </w:p>
    <w:p w14:paraId="4BDB0065" w14:textId="0759E4AE" w:rsidR="00AB5BEA" w:rsidRDefault="00AB5BEA" w:rsidP="006B17C5">
      <w:pPr>
        <w:jc w:val="center"/>
      </w:pPr>
      <w:r>
        <w:rPr>
          <w:noProof/>
        </w:rPr>
        <w:drawing>
          <wp:inline distT="0" distB="0" distL="0" distR="0" wp14:anchorId="1EA6A1F5" wp14:editId="4011B52A">
            <wp:extent cx="5702061" cy="170578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24" cy="1714594"/>
                    </a:xfrm>
                    <a:prstGeom prst="rect">
                      <a:avLst/>
                    </a:prstGeom>
                  </pic:spPr>
                </pic:pic>
              </a:graphicData>
            </a:graphic>
          </wp:inline>
        </w:drawing>
      </w:r>
    </w:p>
    <w:p w14:paraId="5253FB26" w14:textId="4A7BB09E" w:rsidR="000B4271" w:rsidRDefault="00AE6D1B" w:rsidP="006724E7">
      <w:r>
        <w:lastRenderedPageBreak/>
        <w:t xml:space="preserve">The decrease in cancer registrations over the lockdown period is seen relatively consistently across all DHBs. However, the impact of the lockdown on overall registrations for the year to date varies by DHB. </w:t>
      </w:r>
      <w:r w:rsidR="00E666E4">
        <w:fldChar w:fldCharType="begin"/>
      </w:r>
      <w:r w:rsidR="00E666E4">
        <w:instrText xml:space="preserve"> REF _Ref41413762 \h </w:instrText>
      </w:r>
      <w:r w:rsidR="00E666E4">
        <w:fldChar w:fldCharType="separate"/>
      </w:r>
      <w:r w:rsidR="00CC108E">
        <w:t xml:space="preserve">Table </w:t>
      </w:r>
      <w:r w:rsidR="00CC108E">
        <w:rPr>
          <w:noProof/>
        </w:rPr>
        <w:t>3</w:t>
      </w:r>
      <w:r w:rsidR="00E666E4">
        <w:fldChar w:fldCharType="end"/>
      </w:r>
      <w:r w:rsidR="00E666E4">
        <w:t xml:space="preserve"> </w:t>
      </w:r>
      <w:r w:rsidR="008F5FEB">
        <w:t xml:space="preserve">shows the changes in cancer registration in 2020 compared to 2019 for the year to date (up until end of April 2020) by DHB. This is presented as absolute difference in number of cases, as well as the percentage difference. </w:t>
      </w:r>
      <w:r w:rsidR="00D948EA">
        <w:t xml:space="preserve">Appendix 2 includes graphs showing </w:t>
      </w:r>
      <w:r w:rsidR="00350F72">
        <w:t>monthly</w:t>
      </w:r>
      <w:r w:rsidR="00D948EA">
        <w:t xml:space="preserve"> and cumulative cancer registrations by DHB.</w:t>
      </w:r>
    </w:p>
    <w:p w14:paraId="46AF988B" w14:textId="3304C1AE" w:rsidR="00A87412" w:rsidRDefault="00A87412" w:rsidP="00A87412">
      <w:pPr>
        <w:pStyle w:val="Caption"/>
      </w:pPr>
      <w:bookmarkStart w:id="16" w:name="_Ref41413762"/>
      <w:r>
        <w:t xml:space="preserve">Table </w:t>
      </w:r>
      <w:fldSimple w:instr=" SEQ Table \* ARABIC ">
        <w:r w:rsidR="00CC108E">
          <w:rPr>
            <w:noProof/>
          </w:rPr>
          <w:t>3</w:t>
        </w:r>
      </w:fldSimple>
      <w:bookmarkEnd w:id="16"/>
      <w:r>
        <w:t xml:space="preserve">: </w:t>
      </w:r>
      <w:r w:rsidR="00E666E4">
        <w:t>C</w:t>
      </w:r>
      <w:r w:rsidR="00E666E4" w:rsidRPr="00401D01">
        <w:t>hanges in cancer registration in 2020 compared to 2019</w:t>
      </w:r>
      <w:r w:rsidR="00E666E4">
        <w:t xml:space="preserve"> by month and</w:t>
      </w:r>
      <w:r w:rsidR="00E666E4" w:rsidRPr="00401D01">
        <w:t xml:space="preserve"> for the year to date, absolute difference in number of cases and percentage change, by </w:t>
      </w:r>
      <w:r w:rsidR="00E666E4">
        <w:t>DHB</w:t>
      </w:r>
      <w:r w:rsidR="009200E5">
        <w:t xml:space="preserve"> of domicile</w:t>
      </w:r>
      <w:r>
        <w:t xml:space="preserve"> (See Appendix 2 </w:t>
      </w:r>
      <w:r w:rsidR="00D948EA">
        <w:t xml:space="preserve">for </w:t>
      </w:r>
      <w:r>
        <w:t>graphs)</w:t>
      </w:r>
    </w:p>
    <w:tbl>
      <w:tblPr>
        <w:tblW w:w="7655" w:type="dxa"/>
        <w:jc w:val="center"/>
        <w:tblLook w:val="04A0" w:firstRow="1" w:lastRow="0" w:firstColumn="1" w:lastColumn="0" w:noHBand="0" w:noVBand="1"/>
      </w:tblPr>
      <w:tblGrid>
        <w:gridCol w:w="2206"/>
        <w:gridCol w:w="897"/>
        <w:gridCol w:w="725"/>
        <w:gridCol w:w="987"/>
        <w:gridCol w:w="852"/>
        <w:gridCol w:w="897"/>
        <w:gridCol w:w="1091"/>
      </w:tblGrid>
      <w:tr w:rsidR="00E666E4" w:rsidRPr="000B4271" w14:paraId="150AA94E" w14:textId="4974FBBD" w:rsidTr="00E666E4">
        <w:trPr>
          <w:trHeight w:val="267"/>
          <w:jc w:val="center"/>
        </w:trPr>
        <w:tc>
          <w:tcPr>
            <w:tcW w:w="2206" w:type="dxa"/>
            <w:tcBorders>
              <w:right w:val="single" w:sz="4" w:space="0" w:color="auto"/>
            </w:tcBorders>
            <w:shd w:val="clear" w:color="auto" w:fill="auto"/>
            <w:noWrap/>
            <w:vAlign w:val="bottom"/>
          </w:tcPr>
          <w:p w14:paraId="03D53A0A" w14:textId="19AE132A" w:rsidR="00E666E4" w:rsidRPr="000B4271" w:rsidRDefault="00E666E4" w:rsidP="00E666E4">
            <w:pPr>
              <w:spacing w:after="0" w:line="240" w:lineRule="auto"/>
              <w:jc w:val="right"/>
              <w:rPr>
                <w:rFonts w:ascii="Calibri" w:eastAsia="Times New Roman" w:hAnsi="Calibri" w:cs="Times New Roman"/>
                <w:b/>
                <w:color w:val="000000"/>
                <w:lang w:eastAsia="en-NZ"/>
              </w:rPr>
            </w:pPr>
          </w:p>
        </w:tc>
        <w:tc>
          <w:tcPr>
            <w:tcW w:w="1622" w:type="dxa"/>
            <w:gridSpan w:val="2"/>
            <w:tcBorders>
              <w:left w:val="single" w:sz="4" w:space="0" w:color="auto"/>
              <w:bottom w:val="single" w:sz="4" w:space="0" w:color="auto"/>
              <w:right w:val="single" w:sz="4" w:space="0" w:color="auto"/>
            </w:tcBorders>
            <w:shd w:val="clear" w:color="auto" w:fill="auto"/>
            <w:noWrap/>
            <w:vAlign w:val="bottom"/>
          </w:tcPr>
          <w:p w14:paraId="3C36954E" w14:textId="5E36C9EF" w:rsidR="00E666E4" w:rsidRPr="000B4271" w:rsidRDefault="00E666E4" w:rsidP="00E666E4">
            <w:pPr>
              <w:spacing w:after="0" w:line="240" w:lineRule="auto"/>
              <w:jc w:val="center"/>
              <w:rPr>
                <w:rFonts w:ascii="Calibri" w:eastAsia="Times New Roman" w:hAnsi="Calibri" w:cs="Times New Roman"/>
                <w:color w:val="000000"/>
                <w:lang w:eastAsia="en-NZ"/>
              </w:rPr>
            </w:pPr>
            <w:r w:rsidRPr="008E3A50">
              <w:rPr>
                <w:rFonts w:ascii="Calibri" w:eastAsia="Times New Roman" w:hAnsi="Calibri" w:cs="Times New Roman"/>
                <w:b/>
                <w:color w:val="000000"/>
                <w:sz w:val="18"/>
                <w:lang w:eastAsia="en-NZ"/>
              </w:rPr>
              <w:t>March 2020</w:t>
            </w:r>
          </w:p>
        </w:tc>
        <w:tc>
          <w:tcPr>
            <w:tcW w:w="1839" w:type="dxa"/>
            <w:gridSpan w:val="2"/>
            <w:tcBorders>
              <w:left w:val="single" w:sz="4" w:space="0" w:color="auto"/>
              <w:bottom w:val="single" w:sz="4" w:space="0" w:color="auto"/>
              <w:right w:val="single" w:sz="18" w:space="0" w:color="auto"/>
            </w:tcBorders>
            <w:vAlign w:val="bottom"/>
          </w:tcPr>
          <w:p w14:paraId="632A0D21" w14:textId="156C9652" w:rsidR="00E666E4" w:rsidRDefault="00E666E4" w:rsidP="00E666E4">
            <w:pPr>
              <w:spacing w:after="0" w:line="240" w:lineRule="auto"/>
              <w:jc w:val="center"/>
              <w:rPr>
                <w:rFonts w:ascii="Calibri" w:eastAsia="Times New Roman" w:hAnsi="Calibri" w:cs="Times New Roman"/>
                <w:b/>
                <w:color w:val="000000"/>
                <w:lang w:eastAsia="en-NZ"/>
              </w:rPr>
            </w:pPr>
            <w:r w:rsidRPr="008E3A50">
              <w:rPr>
                <w:rFonts w:ascii="Calibri" w:eastAsia="Times New Roman" w:hAnsi="Calibri" w:cs="Times New Roman"/>
                <w:b/>
                <w:color w:val="000000"/>
                <w:sz w:val="18"/>
                <w:lang w:eastAsia="en-NZ"/>
              </w:rPr>
              <w:t>April 2020</w:t>
            </w:r>
          </w:p>
        </w:tc>
        <w:tc>
          <w:tcPr>
            <w:tcW w:w="1988" w:type="dxa"/>
            <w:gridSpan w:val="2"/>
            <w:tcBorders>
              <w:left w:val="single" w:sz="18" w:space="0" w:color="auto"/>
              <w:bottom w:val="single" w:sz="4" w:space="0" w:color="auto"/>
            </w:tcBorders>
          </w:tcPr>
          <w:p w14:paraId="30318161" w14:textId="71943869" w:rsidR="00E666E4" w:rsidRDefault="00E666E4" w:rsidP="00E666E4">
            <w:pPr>
              <w:spacing w:after="0" w:line="240" w:lineRule="auto"/>
              <w:jc w:val="center"/>
              <w:rPr>
                <w:rFonts w:ascii="Calibri" w:eastAsia="Times New Roman" w:hAnsi="Calibri" w:cs="Times New Roman"/>
                <w:b/>
                <w:color w:val="000000"/>
                <w:lang w:eastAsia="en-NZ"/>
              </w:rPr>
            </w:pPr>
            <w:r w:rsidRPr="008E3A50">
              <w:rPr>
                <w:rFonts w:ascii="Calibri" w:eastAsia="Times New Roman" w:hAnsi="Calibri" w:cs="Times New Roman"/>
                <w:b/>
                <w:color w:val="000000"/>
                <w:sz w:val="18"/>
                <w:lang w:eastAsia="en-NZ"/>
              </w:rPr>
              <w:t>Year to date</w:t>
            </w:r>
          </w:p>
        </w:tc>
      </w:tr>
      <w:tr w:rsidR="00E666E4" w:rsidRPr="000B4271" w14:paraId="4562C1AB" w14:textId="77777777" w:rsidTr="00E666E4">
        <w:trPr>
          <w:trHeight w:val="267"/>
          <w:jc w:val="center"/>
        </w:trPr>
        <w:tc>
          <w:tcPr>
            <w:tcW w:w="2206" w:type="dxa"/>
            <w:tcBorders>
              <w:bottom w:val="single" w:sz="4" w:space="0" w:color="auto"/>
              <w:right w:val="single" w:sz="4" w:space="0" w:color="auto"/>
            </w:tcBorders>
            <w:shd w:val="clear" w:color="auto" w:fill="auto"/>
            <w:noWrap/>
            <w:vAlign w:val="bottom"/>
          </w:tcPr>
          <w:p w14:paraId="0AB12F4B" w14:textId="14DDEAA8" w:rsidR="00E666E4" w:rsidRPr="00E666E4" w:rsidRDefault="00E666E4" w:rsidP="00E666E4">
            <w:pPr>
              <w:spacing w:after="0" w:line="240" w:lineRule="auto"/>
              <w:jc w:val="right"/>
              <w:rPr>
                <w:rFonts w:ascii="Calibri" w:eastAsia="Times New Roman" w:hAnsi="Calibri" w:cs="Times New Roman"/>
                <w:color w:val="000000"/>
                <w:lang w:eastAsia="en-NZ"/>
              </w:rPr>
            </w:pPr>
            <w:r>
              <w:rPr>
                <w:rFonts w:eastAsia="Times New Roman" w:cs="Times New Roman"/>
                <w:b/>
                <w:color w:val="000000"/>
                <w:sz w:val="20"/>
                <w:szCs w:val="20"/>
                <w:lang w:eastAsia="en-NZ"/>
              </w:rPr>
              <w:t>DHB</w:t>
            </w:r>
          </w:p>
        </w:tc>
        <w:tc>
          <w:tcPr>
            <w:tcW w:w="897" w:type="dxa"/>
            <w:tcBorders>
              <w:left w:val="single" w:sz="4" w:space="0" w:color="auto"/>
              <w:bottom w:val="single" w:sz="4" w:space="0" w:color="auto"/>
              <w:right w:val="single" w:sz="4" w:space="0" w:color="auto"/>
            </w:tcBorders>
            <w:shd w:val="clear" w:color="auto" w:fill="auto"/>
            <w:noWrap/>
            <w:vAlign w:val="bottom"/>
          </w:tcPr>
          <w:p w14:paraId="4A7009B7" w14:textId="1109959C" w:rsidR="00E666E4" w:rsidRDefault="00E666E4" w:rsidP="00E666E4">
            <w:pPr>
              <w:spacing w:after="0" w:line="240" w:lineRule="auto"/>
              <w:jc w:val="right"/>
              <w:rPr>
                <w:rFonts w:ascii="Calibri" w:eastAsia="Times New Roman" w:hAnsi="Calibri" w:cs="Times New Roman"/>
                <w:b/>
                <w:color w:val="000000"/>
                <w:lang w:eastAsia="en-NZ"/>
              </w:rPr>
            </w:pPr>
            <w:r w:rsidRPr="00D948EA">
              <w:rPr>
                <w:rFonts w:eastAsia="Times New Roman" w:cs="Times New Roman"/>
                <w:b/>
                <w:color w:val="000000"/>
                <w:sz w:val="20"/>
                <w:szCs w:val="20"/>
                <w:lang w:eastAsia="en-NZ"/>
              </w:rPr>
              <w:t>Number</w:t>
            </w:r>
          </w:p>
        </w:tc>
        <w:tc>
          <w:tcPr>
            <w:tcW w:w="725" w:type="dxa"/>
            <w:tcBorders>
              <w:left w:val="single" w:sz="4" w:space="0" w:color="auto"/>
              <w:bottom w:val="single" w:sz="4" w:space="0" w:color="auto"/>
              <w:right w:val="single" w:sz="4" w:space="0" w:color="auto"/>
            </w:tcBorders>
            <w:noWrap/>
            <w:vAlign w:val="bottom"/>
          </w:tcPr>
          <w:p w14:paraId="47319788" w14:textId="37BD445C" w:rsidR="00E666E4" w:rsidRDefault="00E666E4" w:rsidP="00E666E4">
            <w:pPr>
              <w:spacing w:after="0" w:line="240" w:lineRule="auto"/>
              <w:rPr>
                <w:rFonts w:ascii="Calibri" w:eastAsia="Times New Roman" w:hAnsi="Calibri" w:cs="Times New Roman"/>
                <w:b/>
                <w:color w:val="000000"/>
                <w:lang w:eastAsia="en-NZ"/>
              </w:rPr>
            </w:pPr>
            <w:r w:rsidRPr="00D948EA">
              <w:rPr>
                <w:rFonts w:eastAsia="Times New Roman" w:cs="Times New Roman"/>
                <w:b/>
                <w:color w:val="000000"/>
                <w:sz w:val="20"/>
                <w:szCs w:val="20"/>
                <w:lang w:eastAsia="en-NZ"/>
              </w:rPr>
              <w:t xml:space="preserve">% </w:t>
            </w:r>
          </w:p>
        </w:tc>
        <w:tc>
          <w:tcPr>
            <w:tcW w:w="987" w:type="dxa"/>
            <w:tcBorders>
              <w:left w:val="single" w:sz="4" w:space="0" w:color="auto"/>
              <w:bottom w:val="single" w:sz="4" w:space="0" w:color="auto"/>
              <w:right w:val="single" w:sz="4" w:space="0" w:color="auto"/>
            </w:tcBorders>
            <w:vAlign w:val="bottom"/>
          </w:tcPr>
          <w:p w14:paraId="548F2561" w14:textId="72F44A38" w:rsidR="00E666E4" w:rsidRDefault="00E666E4" w:rsidP="00E666E4">
            <w:pPr>
              <w:spacing w:after="0" w:line="240" w:lineRule="auto"/>
              <w:jc w:val="right"/>
              <w:rPr>
                <w:rFonts w:ascii="Calibri" w:eastAsia="Times New Roman" w:hAnsi="Calibri" w:cs="Times New Roman"/>
                <w:b/>
                <w:color w:val="000000"/>
                <w:lang w:eastAsia="en-NZ"/>
              </w:rPr>
            </w:pPr>
            <w:r w:rsidRPr="00D948EA">
              <w:rPr>
                <w:rFonts w:eastAsia="Times New Roman" w:cs="Times New Roman"/>
                <w:b/>
                <w:color w:val="000000"/>
                <w:sz w:val="20"/>
                <w:szCs w:val="20"/>
                <w:lang w:eastAsia="en-NZ"/>
              </w:rPr>
              <w:t>Number</w:t>
            </w:r>
          </w:p>
        </w:tc>
        <w:tc>
          <w:tcPr>
            <w:tcW w:w="852" w:type="dxa"/>
            <w:tcBorders>
              <w:left w:val="single" w:sz="4" w:space="0" w:color="auto"/>
              <w:bottom w:val="single" w:sz="4" w:space="0" w:color="auto"/>
              <w:right w:val="single" w:sz="18" w:space="0" w:color="auto"/>
            </w:tcBorders>
            <w:shd w:val="clear" w:color="auto" w:fill="auto"/>
            <w:vAlign w:val="bottom"/>
          </w:tcPr>
          <w:p w14:paraId="1299E670" w14:textId="20D04D84" w:rsidR="00E666E4" w:rsidRDefault="00E666E4" w:rsidP="00E666E4">
            <w:pPr>
              <w:spacing w:after="0" w:line="240" w:lineRule="auto"/>
              <w:rPr>
                <w:rFonts w:ascii="Calibri" w:eastAsia="Times New Roman" w:hAnsi="Calibri" w:cs="Times New Roman"/>
                <w:b/>
                <w:color w:val="000000"/>
                <w:lang w:eastAsia="en-NZ"/>
              </w:rPr>
            </w:pPr>
            <w:r w:rsidRPr="00D948EA">
              <w:rPr>
                <w:rFonts w:eastAsia="Times New Roman" w:cs="Times New Roman"/>
                <w:b/>
                <w:color w:val="000000"/>
                <w:sz w:val="20"/>
                <w:szCs w:val="20"/>
                <w:lang w:eastAsia="en-NZ"/>
              </w:rPr>
              <w:t xml:space="preserve">% </w:t>
            </w:r>
          </w:p>
        </w:tc>
        <w:tc>
          <w:tcPr>
            <w:tcW w:w="897" w:type="dxa"/>
            <w:tcBorders>
              <w:left w:val="single" w:sz="18" w:space="0" w:color="auto"/>
              <w:bottom w:val="single" w:sz="8" w:space="0" w:color="auto"/>
              <w:right w:val="single" w:sz="4" w:space="0" w:color="auto"/>
            </w:tcBorders>
          </w:tcPr>
          <w:p w14:paraId="352A1541" w14:textId="723A8E80" w:rsidR="00E666E4" w:rsidRDefault="00E666E4" w:rsidP="00E666E4">
            <w:pPr>
              <w:spacing w:after="0" w:line="240" w:lineRule="auto"/>
              <w:jc w:val="right"/>
              <w:rPr>
                <w:rFonts w:ascii="Calibri" w:eastAsia="Times New Roman" w:hAnsi="Calibri" w:cs="Times New Roman"/>
                <w:b/>
                <w:color w:val="000000"/>
                <w:lang w:eastAsia="en-NZ"/>
              </w:rPr>
            </w:pPr>
            <w:r w:rsidRPr="00D948EA">
              <w:rPr>
                <w:rFonts w:eastAsia="Times New Roman" w:cs="Times New Roman"/>
                <w:b/>
                <w:color w:val="000000"/>
                <w:sz w:val="20"/>
                <w:szCs w:val="20"/>
                <w:lang w:eastAsia="en-NZ"/>
              </w:rPr>
              <w:t>Number</w:t>
            </w:r>
          </w:p>
        </w:tc>
        <w:tc>
          <w:tcPr>
            <w:tcW w:w="1091" w:type="dxa"/>
            <w:tcBorders>
              <w:left w:val="single" w:sz="4" w:space="0" w:color="auto"/>
              <w:bottom w:val="single" w:sz="4" w:space="0" w:color="auto"/>
            </w:tcBorders>
            <w:vAlign w:val="bottom"/>
          </w:tcPr>
          <w:p w14:paraId="2A7E2BCB" w14:textId="4B79C4A1" w:rsidR="00E666E4" w:rsidRDefault="00E666E4" w:rsidP="00E666E4">
            <w:pPr>
              <w:spacing w:after="0" w:line="240" w:lineRule="auto"/>
              <w:rPr>
                <w:rFonts w:ascii="Calibri" w:eastAsia="Times New Roman" w:hAnsi="Calibri" w:cs="Times New Roman"/>
                <w:b/>
                <w:color w:val="000000"/>
                <w:lang w:eastAsia="en-NZ"/>
              </w:rPr>
            </w:pPr>
            <w:r w:rsidRPr="00D948EA">
              <w:rPr>
                <w:rFonts w:eastAsia="Times New Roman" w:cs="Times New Roman"/>
                <w:b/>
                <w:color w:val="000000"/>
                <w:sz w:val="20"/>
                <w:szCs w:val="20"/>
                <w:lang w:eastAsia="en-NZ"/>
              </w:rPr>
              <w:t xml:space="preserve">% </w:t>
            </w:r>
          </w:p>
        </w:tc>
      </w:tr>
      <w:tr w:rsidR="00E666E4" w:rsidRPr="000B4271" w14:paraId="27542137" w14:textId="763D2374" w:rsidTr="00E666E4">
        <w:trPr>
          <w:trHeight w:val="267"/>
          <w:jc w:val="center"/>
        </w:trPr>
        <w:tc>
          <w:tcPr>
            <w:tcW w:w="2206" w:type="dxa"/>
            <w:tcBorders>
              <w:top w:val="nil"/>
              <w:left w:val="nil"/>
              <w:bottom w:val="nil"/>
              <w:right w:val="single" w:sz="4" w:space="0" w:color="auto"/>
            </w:tcBorders>
            <w:shd w:val="clear" w:color="auto" w:fill="auto"/>
            <w:noWrap/>
            <w:vAlign w:val="bottom"/>
          </w:tcPr>
          <w:p w14:paraId="550DD240" w14:textId="32D012EC"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Southern</w:t>
            </w:r>
          </w:p>
        </w:tc>
        <w:tc>
          <w:tcPr>
            <w:tcW w:w="897" w:type="dxa"/>
            <w:tcBorders>
              <w:top w:val="single" w:sz="4" w:space="0" w:color="auto"/>
              <w:left w:val="single" w:sz="4" w:space="0" w:color="auto"/>
              <w:bottom w:val="nil"/>
              <w:right w:val="single" w:sz="4" w:space="0" w:color="auto"/>
            </w:tcBorders>
            <w:shd w:val="clear" w:color="auto" w:fill="auto"/>
            <w:noWrap/>
            <w:vAlign w:val="bottom"/>
          </w:tcPr>
          <w:p w14:paraId="0E47D4F1" w14:textId="7372A3D3"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-52</w:t>
            </w:r>
          </w:p>
        </w:tc>
        <w:tc>
          <w:tcPr>
            <w:tcW w:w="725" w:type="dxa"/>
            <w:tcBorders>
              <w:top w:val="nil"/>
              <w:left w:val="single" w:sz="4" w:space="0" w:color="auto"/>
              <w:bottom w:val="nil"/>
              <w:right w:val="single" w:sz="4" w:space="0" w:color="auto"/>
            </w:tcBorders>
            <w:shd w:val="clear" w:color="auto" w:fill="auto"/>
            <w:noWrap/>
            <w:vAlign w:val="bottom"/>
          </w:tcPr>
          <w:p w14:paraId="74C0E668" w14:textId="1003C96B"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-24.6</w:t>
            </w:r>
          </w:p>
        </w:tc>
        <w:tc>
          <w:tcPr>
            <w:tcW w:w="987" w:type="dxa"/>
            <w:tcBorders>
              <w:top w:val="single" w:sz="8" w:space="0" w:color="auto"/>
              <w:left w:val="single" w:sz="4" w:space="0" w:color="auto"/>
              <w:bottom w:val="nil"/>
              <w:right w:val="single" w:sz="4" w:space="0" w:color="auto"/>
            </w:tcBorders>
            <w:shd w:val="clear" w:color="auto" w:fill="auto"/>
            <w:vAlign w:val="bottom"/>
          </w:tcPr>
          <w:p w14:paraId="22860258" w14:textId="7C52D9C5"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-153</w:t>
            </w:r>
          </w:p>
        </w:tc>
        <w:tc>
          <w:tcPr>
            <w:tcW w:w="852" w:type="dxa"/>
            <w:tcBorders>
              <w:top w:val="single" w:sz="8" w:space="0" w:color="auto"/>
              <w:left w:val="single" w:sz="4" w:space="0" w:color="auto"/>
              <w:bottom w:val="nil"/>
              <w:right w:val="single" w:sz="18" w:space="0" w:color="auto"/>
            </w:tcBorders>
            <w:shd w:val="clear" w:color="auto" w:fill="auto"/>
            <w:vAlign w:val="bottom"/>
          </w:tcPr>
          <w:p w14:paraId="0A149E59" w14:textId="11795AD9"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-70.2</w:t>
            </w:r>
          </w:p>
        </w:tc>
        <w:tc>
          <w:tcPr>
            <w:tcW w:w="897" w:type="dxa"/>
            <w:tcBorders>
              <w:top w:val="single" w:sz="8" w:space="0" w:color="auto"/>
              <w:left w:val="single" w:sz="18" w:space="0" w:color="auto"/>
              <w:bottom w:val="nil"/>
              <w:right w:val="single" w:sz="4" w:space="0" w:color="auto"/>
            </w:tcBorders>
            <w:shd w:val="clear" w:color="auto" w:fill="auto"/>
            <w:vAlign w:val="center"/>
          </w:tcPr>
          <w:p w14:paraId="540B6E88" w14:textId="779EE91B"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-178</w:t>
            </w:r>
          </w:p>
        </w:tc>
        <w:tc>
          <w:tcPr>
            <w:tcW w:w="1091" w:type="dxa"/>
            <w:tcBorders>
              <w:top w:val="single" w:sz="8" w:space="0" w:color="auto"/>
              <w:left w:val="single" w:sz="4" w:space="0" w:color="auto"/>
              <w:bottom w:val="nil"/>
              <w:right w:val="nil"/>
            </w:tcBorders>
            <w:shd w:val="clear" w:color="auto" w:fill="auto"/>
            <w:vAlign w:val="center"/>
          </w:tcPr>
          <w:p w14:paraId="559C4C12" w14:textId="2661AC71"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-22%</w:t>
            </w:r>
          </w:p>
        </w:tc>
      </w:tr>
      <w:tr w:rsidR="00E666E4" w:rsidRPr="000B4271" w14:paraId="4559932F" w14:textId="681F2142" w:rsidTr="00E666E4">
        <w:trPr>
          <w:trHeight w:val="267"/>
          <w:jc w:val="center"/>
        </w:trPr>
        <w:tc>
          <w:tcPr>
            <w:tcW w:w="2206" w:type="dxa"/>
            <w:tcBorders>
              <w:top w:val="nil"/>
              <w:left w:val="nil"/>
              <w:bottom w:val="nil"/>
              <w:right w:val="single" w:sz="4" w:space="0" w:color="auto"/>
            </w:tcBorders>
            <w:shd w:val="clear" w:color="auto" w:fill="auto"/>
            <w:noWrap/>
            <w:vAlign w:val="bottom"/>
          </w:tcPr>
          <w:p w14:paraId="618AF127" w14:textId="0C2139CE"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Waikato</w:t>
            </w:r>
          </w:p>
        </w:tc>
        <w:tc>
          <w:tcPr>
            <w:tcW w:w="897" w:type="dxa"/>
            <w:tcBorders>
              <w:top w:val="nil"/>
              <w:left w:val="single" w:sz="4" w:space="0" w:color="auto"/>
              <w:bottom w:val="nil"/>
              <w:right w:val="single" w:sz="4" w:space="0" w:color="auto"/>
            </w:tcBorders>
            <w:shd w:val="clear" w:color="auto" w:fill="auto"/>
            <w:noWrap/>
            <w:vAlign w:val="bottom"/>
          </w:tcPr>
          <w:p w14:paraId="2A524B86" w14:textId="71B343A3"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-5</w:t>
            </w:r>
          </w:p>
        </w:tc>
        <w:tc>
          <w:tcPr>
            <w:tcW w:w="725" w:type="dxa"/>
            <w:tcBorders>
              <w:top w:val="nil"/>
              <w:left w:val="single" w:sz="4" w:space="0" w:color="auto"/>
              <w:bottom w:val="nil"/>
              <w:right w:val="single" w:sz="4" w:space="0" w:color="auto"/>
            </w:tcBorders>
            <w:shd w:val="clear" w:color="auto" w:fill="auto"/>
            <w:noWrap/>
            <w:vAlign w:val="bottom"/>
          </w:tcPr>
          <w:p w14:paraId="32280BCD" w14:textId="0536C013"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-2</w:t>
            </w:r>
          </w:p>
        </w:tc>
        <w:tc>
          <w:tcPr>
            <w:tcW w:w="987" w:type="dxa"/>
            <w:tcBorders>
              <w:top w:val="nil"/>
              <w:left w:val="single" w:sz="4" w:space="0" w:color="auto"/>
              <w:bottom w:val="nil"/>
              <w:right w:val="single" w:sz="4" w:space="0" w:color="auto"/>
            </w:tcBorders>
            <w:shd w:val="clear" w:color="auto" w:fill="auto"/>
            <w:vAlign w:val="bottom"/>
          </w:tcPr>
          <w:p w14:paraId="0D4BCF33" w14:textId="2073561F"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-118</w:t>
            </w:r>
          </w:p>
        </w:tc>
        <w:tc>
          <w:tcPr>
            <w:tcW w:w="852" w:type="dxa"/>
            <w:tcBorders>
              <w:top w:val="nil"/>
              <w:left w:val="single" w:sz="4" w:space="0" w:color="auto"/>
              <w:bottom w:val="nil"/>
              <w:right w:val="single" w:sz="18" w:space="0" w:color="auto"/>
            </w:tcBorders>
            <w:shd w:val="clear" w:color="auto" w:fill="auto"/>
            <w:vAlign w:val="bottom"/>
          </w:tcPr>
          <w:p w14:paraId="3058926C" w14:textId="03BBA61A"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-53.9</w:t>
            </w:r>
          </w:p>
        </w:tc>
        <w:tc>
          <w:tcPr>
            <w:tcW w:w="897" w:type="dxa"/>
            <w:tcBorders>
              <w:top w:val="nil"/>
              <w:left w:val="single" w:sz="18" w:space="0" w:color="auto"/>
              <w:bottom w:val="nil"/>
              <w:right w:val="single" w:sz="4" w:space="0" w:color="auto"/>
            </w:tcBorders>
            <w:shd w:val="clear" w:color="auto" w:fill="auto"/>
            <w:vAlign w:val="center"/>
          </w:tcPr>
          <w:p w14:paraId="50F60A3B" w14:textId="50DFE7D2"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-121</w:t>
            </w:r>
          </w:p>
        </w:tc>
        <w:tc>
          <w:tcPr>
            <w:tcW w:w="1091" w:type="dxa"/>
            <w:tcBorders>
              <w:top w:val="nil"/>
              <w:left w:val="single" w:sz="4" w:space="0" w:color="auto"/>
              <w:bottom w:val="nil"/>
              <w:right w:val="nil"/>
            </w:tcBorders>
            <w:shd w:val="clear" w:color="auto" w:fill="auto"/>
            <w:vAlign w:val="center"/>
          </w:tcPr>
          <w:p w14:paraId="09F360D7" w14:textId="38CD3BDB"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-13%</w:t>
            </w:r>
          </w:p>
        </w:tc>
      </w:tr>
      <w:tr w:rsidR="00E666E4" w:rsidRPr="000B4271" w14:paraId="3FA0293C" w14:textId="58D6BEB1" w:rsidTr="00E666E4">
        <w:trPr>
          <w:trHeight w:val="267"/>
          <w:jc w:val="center"/>
        </w:trPr>
        <w:tc>
          <w:tcPr>
            <w:tcW w:w="2206" w:type="dxa"/>
            <w:tcBorders>
              <w:top w:val="nil"/>
              <w:left w:val="nil"/>
              <w:bottom w:val="nil"/>
              <w:right w:val="single" w:sz="4" w:space="0" w:color="auto"/>
            </w:tcBorders>
            <w:shd w:val="clear" w:color="auto" w:fill="auto"/>
            <w:noWrap/>
            <w:vAlign w:val="bottom"/>
          </w:tcPr>
          <w:p w14:paraId="18705881" w14:textId="347E0EDC"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Hawkes Bay</w:t>
            </w:r>
          </w:p>
        </w:tc>
        <w:tc>
          <w:tcPr>
            <w:tcW w:w="897" w:type="dxa"/>
            <w:tcBorders>
              <w:top w:val="nil"/>
              <w:left w:val="single" w:sz="4" w:space="0" w:color="auto"/>
              <w:bottom w:val="nil"/>
              <w:right w:val="single" w:sz="4" w:space="0" w:color="auto"/>
            </w:tcBorders>
            <w:shd w:val="clear" w:color="auto" w:fill="auto"/>
            <w:noWrap/>
            <w:vAlign w:val="bottom"/>
          </w:tcPr>
          <w:p w14:paraId="29000BF4" w14:textId="630CE0A4"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-31</w:t>
            </w:r>
          </w:p>
        </w:tc>
        <w:tc>
          <w:tcPr>
            <w:tcW w:w="725" w:type="dxa"/>
            <w:tcBorders>
              <w:top w:val="nil"/>
              <w:left w:val="single" w:sz="4" w:space="0" w:color="auto"/>
              <w:bottom w:val="nil"/>
              <w:right w:val="single" w:sz="4" w:space="0" w:color="auto"/>
            </w:tcBorders>
            <w:shd w:val="clear" w:color="auto" w:fill="auto"/>
            <w:noWrap/>
            <w:vAlign w:val="bottom"/>
          </w:tcPr>
          <w:p w14:paraId="01D7673C" w14:textId="0012E1CD"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-27.2</w:t>
            </w:r>
          </w:p>
        </w:tc>
        <w:tc>
          <w:tcPr>
            <w:tcW w:w="987" w:type="dxa"/>
            <w:tcBorders>
              <w:top w:val="nil"/>
              <w:left w:val="single" w:sz="4" w:space="0" w:color="auto"/>
              <w:bottom w:val="nil"/>
              <w:right w:val="single" w:sz="4" w:space="0" w:color="auto"/>
            </w:tcBorders>
            <w:shd w:val="clear" w:color="auto" w:fill="auto"/>
            <w:vAlign w:val="bottom"/>
          </w:tcPr>
          <w:p w14:paraId="415E7B0C" w14:textId="6F6D305D"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-47</w:t>
            </w:r>
          </w:p>
        </w:tc>
        <w:tc>
          <w:tcPr>
            <w:tcW w:w="852" w:type="dxa"/>
            <w:tcBorders>
              <w:top w:val="nil"/>
              <w:left w:val="single" w:sz="4" w:space="0" w:color="auto"/>
              <w:bottom w:val="nil"/>
              <w:right w:val="single" w:sz="18" w:space="0" w:color="auto"/>
            </w:tcBorders>
            <w:shd w:val="clear" w:color="auto" w:fill="auto"/>
            <w:vAlign w:val="bottom"/>
          </w:tcPr>
          <w:p w14:paraId="60A340AB" w14:textId="4AE55726"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-53.4</w:t>
            </w:r>
          </w:p>
        </w:tc>
        <w:tc>
          <w:tcPr>
            <w:tcW w:w="897" w:type="dxa"/>
            <w:tcBorders>
              <w:top w:val="nil"/>
              <w:left w:val="single" w:sz="18" w:space="0" w:color="auto"/>
              <w:bottom w:val="nil"/>
              <w:right w:val="single" w:sz="4" w:space="0" w:color="auto"/>
            </w:tcBorders>
            <w:shd w:val="clear" w:color="auto" w:fill="auto"/>
            <w:vAlign w:val="center"/>
          </w:tcPr>
          <w:p w14:paraId="71F4BAA2" w14:textId="5B4D1B8E"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-62</w:t>
            </w:r>
          </w:p>
        </w:tc>
        <w:tc>
          <w:tcPr>
            <w:tcW w:w="1091" w:type="dxa"/>
            <w:tcBorders>
              <w:top w:val="nil"/>
              <w:left w:val="single" w:sz="4" w:space="0" w:color="auto"/>
              <w:bottom w:val="nil"/>
              <w:right w:val="nil"/>
            </w:tcBorders>
            <w:shd w:val="clear" w:color="auto" w:fill="auto"/>
            <w:vAlign w:val="center"/>
          </w:tcPr>
          <w:p w14:paraId="54A8C2E0" w14:textId="3826ECC1"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-16%</w:t>
            </w:r>
          </w:p>
        </w:tc>
      </w:tr>
      <w:tr w:rsidR="00E666E4" w:rsidRPr="000B4271" w14:paraId="7250F50F" w14:textId="6948E61C" w:rsidTr="00E666E4">
        <w:trPr>
          <w:trHeight w:val="267"/>
          <w:jc w:val="center"/>
        </w:trPr>
        <w:tc>
          <w:tcPr>
            <w:tcW w:w="2206" w:type="dxa"/>
            <w:tcBorders>
              <w:top w:val="nil"/>
              <w:left w:val="nil"/>
              <w:bottom w:val="nil"/>
              <w:right w:val="single" w:sz="4" w:space="0" w:color="auto"/>
            </w:tcBorders>
            <w:shd w:val="clear" w:color="auto" w:fill="auto"/>
            <w:noWrap/>
            <w:vAlign w:val="bottom"/>
          </w:tcPr>
          <w:p w14:paraId="7E5AC4BA" w14:textId="48557D9B"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Capital and Coast</w:t>
            </w:r>
          </w:p>
        </w:tc>
        <w:tc>
          <w:tcPr>
            <w:tcW w:w="897" w:type="dxa"/>
            <w:tcBorders>
              <w:top w:val="nil"/>
              <w:left w:val="single" w:sz="4" w:space="0" w:color="auto"/>
              <w:bottom w:val="nil"/>
              <w:right w:val="single" w:sz="4" w:space="0" w:color="auto"/>
            </w:tcBorders>
            <w:shd w:val="clear" w:color="auto" w:fill="auto"/>
            <w:noWrap/>
            <w:vAlign w:val="bottom"/>
          </w:tcPr>
          <w:p w14:paraId="7B3A13EB" w14:textId="12C086D1"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-8</w:t>
            </w:r>
          </w:p>
        </w:tc>
        <w:tc>
          <w:tcPr>
            <w:tcW w:w="725" w:type="dxa"/>
            <w:tcBorders>
              <w:top w:val="nil"/>
              <w:left w:val="single" w:sz="4" w:space="0" w:color="auto"/>
              <w:bottom w:val="nil"/>
              <w:right w:val="single" w:sz="4" w:space="0" w:color="auto"/>
            </w:tcBorders>
            <w:shd w:val="clear" w:color="auto" w:fill="auto"/>
            <w:noWrap/>
            <w:vAlign w:val="bottom"/>
          </w:tcPr>
          <w:p w14:paraId="7E1B246A" w14:textId="7F00BBCA"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-5.3</w:t>
            </w:r>
          </w:p>
        </w:tc>
        <w:tc>
          <w:tcPr>
            <w:tcW w:w="987" w:type="dxa"/>
            <w:tcBorders>
              <w:top w:val="nil"/>
              <w:left w:val="single" w:sz="4" w:space="0" w:color="auto"/>
              <w:bottom w:val="nil"/>
              <w:right w:val="single" w:sz="4" w:space="0" w:color="auto"/>
            </w:tcBorders>
            <w:shd w:val="clear" w:color="auto" w:fill="auto"/>
            <w:vAlign w:val="bottom"/>
          </w:tcPr>
          <w:p w14:paraId="2CB0BF1A" w14:textId="5A31399B"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-82</w:t>
            </w:r>
          </w:p>
        </w:tc>
        <w:tc>
          <w:tcPr>
            <w:tcW w:w="852" w:type="dxa"/>
            <w:tcBorders>
              <w:top w:val="nil"/>
              <w:left w:val="single" w:sz="4" w:space="0" w:color="auto"/>
              <w:bottom w:val="nil"/>
              <w:right w:val="single" w:sz="18" w:space="0" w:color="auto"/>
            </w:tcBorders>
            <w:shd w:val="clear" w:color="auto" w:fill="auto"/>
            <w:vAlign w:val="bottom"/>
          </w:tcPr>
          <w:p w14:paraId="13A016C0" w14:textId="2D7BC7A7"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-56.6</w:t>
            </w:r>
          </w:p>
        </w:tc>
        <w:tc>
          <w:tcPr>
            <w:tcW w:w="897" w:type="dxa"/>
            <w:tcBorders>
              <w:top w:val="nil"/>
              <w:left w:val="single" w:sz="18" w:space="0" w:color="auto"/>
              <w:bottom w:val="nil"/>
              <w:right w:val="single" w:sz="4" w:space="0" w:color="auto"/>
            </w:tcBorders>
            <w:shd w:val="clear" w:color="auto" w:fill="auto"/>
            <w:vAlign w:val="center"/>
          </w:tcPr>
          <w:p w14:paraId="7F95701B" w14:textId="00A70B11"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-56</w:t>
            </w:r>
          </w:p>
        </w:tc>
        <w:tc>
          <w:tcPr>
            <w:tcW w:w="1091" w:type="dxa"/>
            <w:tcBorders>
              <w:top w:val="nil"/>
              <w:left w:val="single" w:sz="4" w:space="0" w:color="auto"/>
              <w:bottom w:val="nil"/>
              <w:right w:val="nil"/>
            </w:tcBorders>
            <w:shd w:val="clear" w:color="auto" w:fill="auto"/>
            <w:vAlign w:val="center"/>
          </w:tcPr>
          <w:p w14:paraId="22FAAA08" w14:textId="236043E6"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-11%</w:t>
            </w:r>
          </w:p>
        </w:tc>
      </w:tr>
      <w:tr w:rsidR="00E666E4" w:rsidRPr="000B4271" w14:paraId="29312B43" w14:textId="0559AFE1" w:rsidTr="00E666E4">
        <w:trPr>
          <w:trHeight w:val="267"/>
          <w:jc w:val="center"/>
        </w:trPr>
        <w:tc>
          <w:tcPr>
            <w:tcW w:w="2206" w:type="dxa"/>
            <w:tcBorders>
              <w:top w:val="nil"/>
              <w:left w:val="nil"/>
              <w:bottom w:val="nil"/>
              <w:right w:val="single" w:sz="4" w:space="0" w:color="auto"/>
            </w:tcBorders>
            <w:shd w:val="clear" w:color="auto" w:fill="auto"/>
            <w:noWrap/>
            <w:vAlign w:val="bottom"/>
          </w:tcPr>
          <w:p w14:paraId="26D638B6" w14:textId="3F19954A"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Canterbury</w:t>
            </w:r>
          </w:p>
        </w:tc>
        <w:tc>
          <w:tcPr>
            <w:tcW w:w="897" w:type="dxa"/>
            <w:tcBorders>
              <w:top w:val="nil"/>
              <w:left w:val="single" w:sz="4" w:space="0" w:color="auto"/>
              <w:bottom w:val="nil"/>
              <w:right w:val="single" w:sz="4" w:space="0" w:color="auto"/>
            </w:tcBorders>
            <w:shd w:val="clear" w:color="auto" w:fill="auto"/>
            <w:noWrap/>
            <w:vAlign w:val="bottom"/>
          </w:tcPr>
          <w:p w14:paraId="034A6621" w14:textId="538108D8"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-2</w:t>
            </w:r>
          </w:p>
        </w:tc>
        <w:tc>
          <w:tcPr>
            <w:tcW w:w="725" w:type="dxa"/>
            <w:tcBorders>
              <w:top w:val="nil"/>
              <w:left w:val="single" w:sz="4" w:space="0" w:color="auto"/>
              <w:bottom w:val="nil"/>
              <w:right w:val="single" w:sz="4" w:space="0" w:color="auto"/>
            </w:tcBorders>
            <w:shd w:val="clear" w:color="auto" w:fill="auto"/>
            <w:noWrap/>
            <w:vAlign w:val="bottom"/>
          </w:tcPr>
          <w:p w14:paraId="583CA274" w14:textId="183D173F"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-0.7</w:t>
            </w:r>
          </w:p>
        </w:tc>
        <w:tc>
          <w:tcPr>
            <w:tcW w:w="987" w:type="dxa"/>
            <w:tcBorders>
              <w:top w:val="nil"/>
              <w:left w:val="single" w:sz="4" w:space="0" w:color="auto"/>
              <w:bottom w:val="nil"/>
              <w:right w:val="single" w:sz="4" w:space="0" w:color="auto"/>
            </w:tcBorders>
            <w:shd w:val="clear" w:color="auto" w:fill="auto"/>
            <w:vAlign w:val="bottom"/>
          </w:tcPr>
          <w:p w14:paraId="5CBCFC57" w14:textId="7AB17804"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-120</w:t>
            </w:r>
          </w:p>
        </w:tc>
        <w:tc>
          <w:tcPr>
            <w:tcW w:w="852" w:type="dxa"/>
            <w:tcBorders>
              <w:top w:val="nil"/>
              <w:left w:val="single" w:sz="4" w:space="0" w:color="auto"/>
              <w:bottom w:val="nil"/>
              <w:right w:val="single" w:sz="18" w:space="0" w:color="auto"/>
            </w:tcBorders>
            <w:shd w:val="clear" w:color="auto" w:fill="auto"/>
            <w:vAlign w:val="bottom"/>
          </w:tcPr>
          <w:p w14:paraId="592978E2" w14:textId="05563123"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-44.3</w:t>
            </w:r>
          </w:p>
        </w:tc>
        <w:tc>
          <w:tcPr>
            <w:tcW w:w="897" w:type="dxa"/>
            <w:tcBorders>
              <w:top w:val="nil"/>
              <w:left w:val="single" w:sz="18" w:space="0" w:color="auto"/>
              <w:bottom w:val="nil"/>
              <w:right w:val="single" w:sz="4" w:space="0" w:color="auto"/>
            </w:tcBorders>
            <w:shd w:val="clear" w:color="auto" w:fill="auto"/>
            <w:vAlign w:val="center"/>
          </w:tcPr>
          <w:p w14:paraId="270F69CB" w14:textId="56A7AC9B"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-38</w:t>
            </w:r>
          </w:p>
        </w:tc>
        <w:tc>
          <w:tcPr>
            <w:tcW w:w="1091" w:type="dxa"/>
            <w:tcBorders>
              <w:top w:val="nil"/>
              <w:left w:val="single" w:sz="4" w:space="0" w:color="auto"/>
              <w:bottom w:val="nil"/>
              <w:right w:val="nil"/>
            </w:tcBorders>
            <w:shd w:val="clear" w:color="auto" w:fill="auto"/>
            <w:vAlign w:val="center"/>
          </w:tcPr>
          <w:p w14:paraId="155A559C" w14:textId="7995AC8B"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-4%</w:t>
            </w:r>
          </w:p>
        </w:tc>
      </w:tr>
      <w:tr w:rsidR="00E666E4" w:rsidRPr="000B4271" w14:paraId="151258AA" w14:textId="4592F260" w:rsidTr="00E666E4">
        <w:trPr>
          <w:trHeight w:val="267"/>
          <w:jc w:val="center"/>
        </w:trPr>
        <w:tc>
          <w:tcPr>
            <w:tcW w:w="2206" w:type="dxa"/>
            <w:tcBorders>
              <w:top w:val="nil"/>
              <w:left w:val="nil"/>
              <w:bottom w:val="nil"/>
              <w:right w:val="single" w:sz="4" w:space="0" w:color="auto"/>
            </w:tcBorders>
            <w:shd w:val="clear" w:color="auto" w:fill="auto"/>
            <w:noWrap/>
            <w:vAlign w:val="bottom"/>
          </w:tcPr>
          <w:p w14:paraId="5E558221" w14:textId="7E094275"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Bay of Plenty</w:t>
            </w:r>
          </w:p>
        </w:tc>
        <w:tc>
          <w:tcPr>
            <w:tcW w:w="897" w:type="dxa"/>
            <w:tcBorders>
              <w:top w:val="nil"/>
              <w:left w:val="single" w:sz="4" w:space="0" w:color="auto"/>
              <w:bottom w:val="nil"/>
              <w:right w:val="single" w:sz="4" w:space="0" w:color="auto"/>
            </w:tcBorders>
            <w:shd w:val="clear" w:color="auto" w:fill="auto"/>
            <w:noWrap/>
            <w:vAlign w:val="bottom"/>
          </w:tcPr>
          <w:p w14:paraId="116E0F32" w14:textId="44478D59"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-24</w:t>
            </w:r>
          </w:p>
        </w:tc>
        <w:tc>
          <w:tcPr>
            <w:tcW w:w="725" w:type="dxa"/>
            <w:tcBorders>
              <w:top w:val="nil"/>
              <w:left w:val="single" w:sz="4" w:space="0" w:color="auto"/>
              <w:bottom w:val="nil"/>
              <w:right w:val="single" w:sz="4" w:space="0" w:color="auto"/>
            </w:tcBorders>
            <w:shd w:val="clear" w:color="auto" w:fill="auto"/>
            <w:noWrap/>
            <w:vAlign w:val="bottom"/>
          </w:tcPr>
          <w:p w14:paraId="4649B786" w14:textId="08065924"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-13.3</w:t>
            </w:r>
          </w:p>
        </w:tc>
        <w:tc>
          <w:tcPr>
            <w:tcW w:w="987" w:type="dxa"/>
            <w:tcBorders>
              <w:top w:val="nil"/>
              <w:left w:val="single" w:sz="4" w:space="0" w:color="auto"/>
              <w:bottom w:val="nil"/>
              <w:right w:val="single" w:sz="4" w:space="0" w:color="auto"/>
            </w:tcBorders>
            <w:shd w:val="clear" w:color="auto" w:fill="auto"/>
            <w:vAlign w:val="bottom"/>
          </w:tcPr>
          <w:p w14:paraId="31692943" w14:textId="76966A54"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-56</w:t>
            </w:r>
          </w:p>
        </w:tc>
        <w:tc>
          <w:tcPr>
            <w:tcW w:w="852" w:type="dxa"/>
            <w:tcBorders>
              <w:top w:val="nil"/>
              <w:left w:val="single" w:sz="4" w:space="0" w:color="auto"/>
              <w:bottom w:val="nil"/>
              <w:right w:val="single" w:sz="18" w:space="0" w:color="auto"/>
            </w:tcBorders>
            <w:shd w:val="clear" w:color="auto" w:fill="auto"/>
            <w:vAlign w:val="bottom"/>
          </w:tcPr>
          <w:p w14:paraId="2A60C7C2" w14:textId="037A17D3"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-38.6</w:t>
            </w:r>
          </w:p>
        </w:tc>
        <w:tc>
          <w:tcPr>
            <w:tcW w:w="897" w:type="dxa"/>
            <w:tcBorders>
              <w:top w:val="nil"/>
              <w:left w:val="single" w:sz="18" w:space="0" w:color="auto"/>
              <w:bottom w:val="nil"/>
              <w:right w:val="single" w:sz="4" w:space="0" w:color="auto"/>
            </w:tcBorders>
            <w:shd w:val="clear" w:color="auto" w:fill="auto"/>
            <w:vAlign w:val="center"/>
          </w:tcPr>
          <w:p w14:paraId="5DDC1DD7" w14:textId="7DF09E24"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-36</w:t>
            </w:r>
          </w:p>
        </w:tc>
        <w:tc>
          <w:tcPr>
            <w:tcW w:w="1091" w:type="dxa"/>
            <w:tcBorders>
              <w:top w:val="nil"/>
              <w:left w:val="single" w:sz="4" w:space="0" w:color="auto"/>
              <w:bottom w:val="nil"/>
              <w:right w:val="nil"/>
            </w:tcBorders>
            <w:shd w:val="clear" w:color="auto" w:fill="auto"/>
            <w:vAlign w:val="center"/>
          </w:tcPr>
          <w:p w14:paraId="60719C11" w14:textId="12EFB687"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-6%</w:t>
            </w:r>
          </w:p>
        </w:tc>
      </w:tr>
      <w:tr w:rsidR="00E666E4" w:rsidRPr="000B4271" w14:paraId="5493AD41" w14:textId="017D25A6" w:rsidTr="00E666E4">
        <w:trPr>
          <w:trHeight w:val="267"/>
          <w:jc w:val="center"/>
        </w:trPr>
        <w:tc>
          <w:tcPr>
            <w:tcW w:w="2206" w:type="dxa"/>
            <w:tcBorders>
              <w:top w:val="nil"/>
              <w:left w:val="nil"/>
              <w:bottom w:val="nil"/>
              <w:right w:val="single" w:sz="4" w:space="0" w:color="auto"/>
            </w:tcBorders>
            <w:shd w:val="clear" w:color="auto" w:fill="auto"/>
            <w:noWrap/>
            <w:vAlign w:val="bottom"/>
          </w:tcPr>
          <w:p w14:paraId="7BE02215" w14:textId="113A1ECE"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Nelson Marlborough</w:t>
            </w:r>
          </w:p>
        </w:tc>
        <w:tc>
          <w:tcPr>
            <w:tcW w:w="897" w:type="dxa"/>
            <w:tcBorders>
              <w:top w:val="nil"/>
              <w:left w:val="single" w:sz="4" w:space="0" w:color="auto"/>
              <w:bottom w:val="nil"/>
              <w:right w:val="single" w:sz="4" w:space="0" w:color="auto"/>
            </w:tcBorders>
            <w:shd w:val="clear" w:color="auto" w:fill="auto"/>
            <w:noWrap/>
            <w:vAlign w:val="bottom"/>
          </w:tcPr>
          <w:p w14:paraId="608885E6" w14:textId="7DBC7C6E"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-17</w:t>
            </w:r>
          </w:p>
        </w:tc>
        <w:tc>
          <w:tcPr>
            <w:tcW w:w="725" w:type="dxa"/>
            <w:tcBorders>
              <w:top w:val="nil"/>
              <w:left w:val="single" w:sz="4" w:space="0" w:color="auto"/>
              <w:bottom w:val="nil"/>
              <w:right w:val="single" w:sz="4" w:space="0" w:color="auto"/>
            </w:tcBorders>
            <w:shd w:val="clear" w:color="auto" w:fill="auto"/>
            <w:noWrap/>
            <w:vAlign w:val="bottom"/>
          </w:tcPr>
          <w:p w14:paraId="7085B593" w14:textId="42FE7F9F"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-13</w:t>
            </w:r>
          </w:p>
        </w:tc>
        <w:tc>
          <w:tcPr>
            <w:tcW w:w="987" w:type="dxa"/>
            <w:tcBorders>
              <w:top w:val="nil"/>
              <w:left w:val="single" w:sz="4" w:space="0" w:color="auto"/>
              <w:bottom w:val="nil"/>
              <w:right w:val="single" w:sz="4" w:space="0" w:color="auto"/>
            </w:tcBorders>
            <w:shd w:val="clear" w:color="auto" w:fill="auto"/>
            <w:vAlign w:val="bottom"/>
          </w:tcPr>
          <w:p w14:paraId="391A133E" w14:textId="3872D3C0"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-60</w:t>
            </w:r>
          </w:p>
        </w:tc>
        <w:tc>
          <w:tcPr>
            <w:tcW w:w="852" w:type="dxa"/>
            <w:tcBorders>
              <w:top w:val="nil"/>
              <w:left w:val="single" w:sz="4" w:space="0" w:color="auto"/>
              <w:bottom w:val="nil"/>
              <w:right w:val="single" w:sz="18" w:space="0" w:color="auto"/>
            </w:tcBorders>
            <w:shd w:val="clear" w:color="auto" w:fill="auto"/>
            <w:vAlign w:val="bottom"/>
          </w:tcPr>
          <w:p w14:paraId="3861055F" w14:textId="28323030"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-56.6</w:t>
            </w:r>
          </w:p>
        </w:tc>
        <w:tc>
          <w:tcPr>
            <w:tcW w:w="897" w:type="dxa"/>
            <w:tcBorders>
              <w:top w:val="nil"/>
              <w:left w:val="single" w:sz="18" w:space="0" w:color="auto"/>
              <w:bottom w:val="nil"/>
              <w:right w:val="single" w:sz="4" w:space="0" w:color="auto"/>
            </w:tcBorders>
            <w:shd w:val="clear" w:color="auto" w:fill="auto"/>
            <w:vAlign w:val="center"/>
          </w:tcPr>
          <w:p w14:paraId="7D17D644" w14:textId="286F6733"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-34</w:t>
            </w:r>
          </w:p>
        </w:tc>
        <w:tc>
          <w:tcPr>
            <w:tcW w:w="1091" w:type="dxa"/>
            <w:tcBorders>
              <w:top w:val="nil"/>
              <w:left w:val="single" w:sz="4" w:space="0" w:color="auto"/>
              <w:bottom w:val="nil"/>
              <w:right w:val="nil"/>
            </w:tcBorders>
            <w:shd w:val="clear" w:color="auto" w:fill="auto"/>
            <w:vAlign w:val="center"/>
          </w:tcPr>
          <w:p w14:paraId="1683D6DB" w14:textId="54D6C720"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-8%</w:t>
            </w:r>
          </w:p>
        </w:tc>
      </w:tr>
      <w:tr w:rsidR="00E666E4" w:rsidRPr="000B4271" w14:paraId="1ED700F7" w14:textId="5AD6559E" w:rsidTr="00E666E4">
        <w:trPr>
          <w:trHeight w:val="267"/>
          <w:jc w:val="center"/>
        </w:trPr>
        <w:tc>
          <w:tcPr>
            <w:tcW w:w="2206" w:type="dxa"/>
            <w:tcBorders>
              <w:top w:val="nil"/>
              <w:left w:val="nil"/>
              <w:bottom w:val="nil"/>
              <w:right w:val="single" w:sz="4" w:space="0" w:color="auto"/>
            </w:tcBorders>
            <w:shd w:val="clear" w:color="auto" w:fill="auto"/>
            <w:noWrap/>
            <w:vAlign w:val="bottom"/>
          </w:tcPr>
          <w:p w14:paraId="406A8356" w14:textId="2B6BB709" w:rsidR="00E666E4" w:rsidRPr="00E666E4" w:rsidRDefault="00AB5BEA" w:rsidP="00E666E4">
            <w:pPr>
              <w:spacing w:after="0" w:line="240" w:lineRule="auto"/>
              <w:jc w:val="right"/>
              <w:rPr>
                <w:rFonts w:ascii="Calibri" w:eastAsia="Times New Roman" w:hAnsi="Calibri" w:cs="Times New Roman"/>
                <w:color w:val="000000"/>
                <w:sz w:val="20"/>
                <w:szCs w:val="20"/>
                <w:lang w:eastAsia="en-NZ"/>
              </w:rPr>
            </w:pPr>
            <w:r>
              <w:rPr>
                <w:rFonts w:ascii="Calibri" w:hAnsi="Calibri"/>
                <w:color w:val="000000"/>
                <w:sz w:val="20"/>
                <w:szCs w:val="20"/>
              </w:rPr>
              <w:t xml:space="preserve">Hauora </w:t>
            </w:r>
            <w:r w:rsidR="00E666E4" w:rsidRPr="00E666E4">
              <w:rPr>
                <w:rFonts w:ascii="Calibri" w:hAnsi="Calibri"/>
                <w:color w:val="000000"/>
                <w:sz w:val="20"/>
                <w:szCs w:val="20"/>
              </w:rPr>
              <w:t>Tair</w:t>
            </w:r>
            <w:r>
              <w:rPr>
                <w:rFonts w:ascii="Calibri" w:hAnsi="Calibri"/>
                <w:color w:val="000000"/>
                <w:sz w:val="20"/>
                <w:szCs w:val="20"/>
              </w:rPr>
              <w:t>ā</w:t>
            </w:r>
            <w:r w:rsidR="00E666E4" w:rsidRPr="00E666E4">
              <w:rPr>
                <w:rFonts w:ascii="Calibri" w:hAnsi="Calibri"/>
                <w:color w:val="000000"/>
                <w:sz w:val="20"/>
                <w:szCs w:val="20"/>
              </w:rPr>
              <w:t>whiti</w:t>
            </w:r>
          </w:p>
        </w:tc>
        <w:tc>
          <w:tcPr>
            <w:tcW w:w="897" w:type="dxa"/>
            <w:tcBorders>
              <w:top w:val="nil"/>
              <w:left w:val="single" w:sz="4" w:space="0" w:color="auto"/>
              <w:bottom w:val="nil"/>
              <w:right w:val="single" w:sz="4" w:space="0" w:color="auto"/>
            </w:tcBorders>
            <w:shd w:val="clear" w:color="auto" w:fill="auto"/>
            <w:noWrap/>
            <w:vAlign w:val="bottom"/>
          </w:tcPr>
          <w:p w14:paraId="513D4339" w14:textId="344B25A6"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-5</w:t>
            </w:r>
          </w:p>
        </w:tc>
        <w:tc>
          <w:tcPr>
            <w:tcW w:w="725" w:type="dxa"/>
            <w:tcBorders>
              <w:top w:val="nil"/>
              <w:left w:val="single" w:sz="4" w:space="0" w:color="auto"/>
              <w:bottom w:val="nil"/>
              <w:right w:val="single" w:sz="4" w:space="0" w:color="auto"/>
            </w:tcBorders>
            <w:shd w:val="clear" w:color="auto" w:fill="auto"/>
            <w:noWrap/>
            <w:vAlign w:val="bottom"/>
          </w:tcPr>
          <w:p w14:paraId="3648B866" w14:textId="41F00DC6"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-17.2</w:t>
            </w:r>
          </w:p>
        </w:tc>
        <w:tc>
          <w:tcPr>
            <w:tcW w:w="987" w:type="dxa"/>
            <w:tcBorders>
              <w:top w:val="nil"/>
              <w:left w:val="single" w:sz="4" w:space="0" w:color="auto"/>
              <w:bottom w:val="nil"/>
              <w:right w:val="single" w:sz="4" w:space="0" w:color="auto"/>
            </w:tcBorders>
            <w:shd w:val="clear" w:color="auto" w:fill="auto"/>
            <w:vAlign w:val="bottom"/>
          </w:tcPr>
          <w:p w14:paraId="6B9F61DE" w14:textId="314D2ECF"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-24</w:t>
            </w:r>
          </w:p>
        </w:tc>
        <w:tc>
          <w:tcPr>
            <w:tcW w:w="852" w:type="dxa"/>
            <w:tcBorders>
              <w:top w:val="nil"/>
              <w:left w:val="single" w:sz="4" w:space="0" w:color="auto"/>
              <w:bottom w:val="nil"/>
              <w:right w:val="single" w:sz="18" w:space="0" w:color="auto"/>
            </w:tcBorders>
            <w:shd w:val="clear" w:color="auto" w:fill="auto"/>
            <w:vAlign w:val="bottom"/>
          </w:tcPr>
          <w:p w14:paraId="5C7A68D3" w14:textId="790998C8"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-66.7</w:t>
            </w:r>
          </w:p>
        </w:tc>
        <w:tc>
          <w:tcPr>
            <w:tcW w:w="897" w:type="dxa"/>
            <w:tcBorders>
              <w:top w:val="nil"/>
              <w:left w:val="single" w:sz="18" w:space="0" w:color="auto"/>
              <w:bottom w:val="nil"/>
              <w:right w:val="single" w:sz="4" w:space="0" w:color="auto"/>
            </w:tcBorders>
            <w:shd w:val="clear" w:color="auto" w:fill="auto"/>
            <w:vAlign w:val="center"/>
          </w:tcPr>
          <w:p w14:paraId="5F144523" w14:textId="00372BD8"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-23</w:t>
            </w:r>
          </w:p>
        </w:tc>
        <w:tc>
          <w:tcPr>
            <w:tcW w:w="1091" w:type="dxa"/>
            <w:tcBorders>
              <w:top w:val="nil"/>
              <w:left w:val="single" w:sz="4" w:space="0" w:color="auto"/>
              <w:bottom w:val="nil"/>
              <w:right w:val="nil"/>
            </w:tcBorders>
            <w:shd w:val="clear" w:color="auto" w:fill="auto"/>
            <w:vAlign w:val="center"/>
          </w:tcPr>
          <w:p w14:paraId="27AD2B6E" w14:textId="5F99A242"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-20%</w:t>
            </w:r>
          </w:p>
        </w:tc>
      </w:tr>
      <w:tr w:rsidR="00E666E4" w:rsidRPr="000B4271" w14:paraId="2CCD6B8C" w14:textId="3967DB06" w:rsidTr="00E666E4">
        <w:trPr>
          <w:trHeight w:val="267"/>
          <w:jc w:val="center"/>
        </w:trPr>
        <w:tc>
          <w:tcPr>
            <w:tcW w:w="2206" w:type="dxa"/>
            <w:tcBorders>
              <w:top w:val="nil"/>
              <w:left w:val="nil"/>
              <w:bottom w:val="nil"/>
              <w:right w:val="single" w:sz="4" w:space="0" w:color="auto"/>
            </w:tcBorders>
            <w:shd w:val="clear" w:color="auto" w:fill="auto"/>
            <w:noWrap/>
            <w:vAlign w:val="bottom"/>
          </w:tcPr>
          <w:p w14:paraId="394CCA63" w14:textId="23F29EF0"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Northland</w:t>
            </w:r>
          </w:p>
        </w:tc>
        <w:tc>
          <w:tcPr>
            <w:tcW w:w="897" w:type="dxa"/>
            <w:tcBorders>
              <w:top w:val="nil"/>
              <w:left w:val="single" w:sz="4" w:space="0" w:color="auto"/>
              <w:bottom w:val="nil"/>
              <w:right w:val="single" w:sz="4" w:space="0" w:color="auto"/>
            </w:tcBorders>
            <w:shd w:val="clear" w:color="auto" w:fill="auto"/>
            <w:noWrap/>
            <w:vAlign w:val="bottom"/>
          </w:tcPr>
          <w:p w14:paraId="51FD1CD1" w14:textId="2DC820B3"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-21</w:t>
            </w:r>
          </w:p>
        </w:tc>
        <w:tc>
          <w:tcPr>
            <w:tcW w:w="725" w:type="dxa"/>
            <w:tcBorders>
              <w:top w:val="nil"/>
              <w:left w:val="single" w:sz="4" w:space="0" w:color="auto"/>
              <w:bottom w:val="nil"/>
              <w:right w:val="single" w:sz="4" w:space="0" w:color="auto"/>
            </w:tcBorders>
            <w:shd w:val="clear" w:color="auto" w:fill="auto"/>
            <w:noWrap/>
            <w:vAlign w:val="bottom"/>
          </w:tcPr>
          <w:p w14:paraId="76476A7E" w14:textId="719B3FC0"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-17.5</w:t>
            </w:r>
          </w:p>
        </w:tc>
        <w:tc>
          <w:tcPr>
            <w:tcW w:w="987" w:type="dxa"/>
            <w:tcBorders>
              <w:top w:val="nil"/>
              <w:left w:val="single" w:sz="4" w:space="0" w:color="auto"/>
              <w:bottom w:val="nil"/>
              <w:right w:val="single" w:sz="4" w:space="0" w:color="auto"/>
            </w:tcBorders>
            <w:shd w:val="clear" w:color="auto" w:fill="auto"/>
            <w:vAlign w:val="bottom"/>
          </w:tcPr>
          <w:p w14:paraId="604A5AA2" w14:textId="6BE9A8F3"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-34</w:t>
            </w:r>
          </w:p>
        </w:tc>
        <w:tc>
          <w:tcPr>
            <w:tcW w:w="852" w:type="dxa"/>
            <w:tcBorders>
              <w:top w:val="nil"/>
              <w:left w:val="single" w:sz="4" w:space="0" w:color="auto"/>
              <w:bottom w:val="nil"/>
              <w:right w:val="single" w:sz="18" w:space="0" w:color="auto"/>
            </w:tcBorders>
            <w:shd w:val="clear" w:color="auto" w:fill="auto"/>
            <w:vAlign w:val="bottom"/>
          </w:tcPr>
          <w:p w14:paraId="1F83D072" w14:textId="7E036A62"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-34.3</w:t>
            </w:r>
          </w:p>
        </w:tc>
        <w:tc>
          <w:tcPr>
            <w:tcW w:w="897" w:type="dxa"/>
            <w:tcBorders>
              <w:top w:val="nil"/>
              <w:left w:val="single" w:sz="18" w:space="0" w:color="auto"/>
              <w:bottom w:val="nil"/>
              <w:right w:val="single" w:sz="4" w:space="0" w:color="auto"/>
            </w:tcBorders>
            <w:shd w:val="clear" w:color="auto" w:fill="auto"/>
            <w:vAlign w:val="center"/>
          </w:tcPr>
          <w:p w14:paraId="1EE065DB" w14:textId="64153865"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-18</w:t>
            </w:r>
          </w:p>
        </w:tc>
        <w:tc>
          <w:tcPr>
            <w:tcW w:w="1091" w:type="dxa"/>
            <w:tcBorders>
              <w:top w:val="nil"/>
              <w:left w:val="single" w:sz="4" w:space="0" w:color="auto"/>
              <w:bottom w:val="nil"/>
              <w:right w:val="nil"/>
            </w:tcBorders>
            <w:shd w:val="clear" w:color="auto" w:fill="auto"/>
            <w:vAlign w:val="center"/>
          </w:tcPr>
          <w:p w14:paraId="21B03E21" w14:textId="1D217234"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-4%</w:t>
            </w:r>
          </w:p>
        </w:tc>
      </w:tr>
      <w:tr w:rsidR="00E666E4" w:rsidRPr="000B4271" w14:paraId="60F17C11" w14:textId="014C3AFA" w:rsidTr="00E666E4">
        <w:trPr>
          <w:trHeight w:val="267"/>
          <w:jc w:val="center"/>
        </w:trPr>
        <w:tc>
          <w:tcPr>
            <w:tcW w:w="2206" w:type="dxa"/>
            <w:tcBorders>
              <w:top w:val="nil"/>
              <w:left w:val="nil"/>
              <w:bottom w:val="nil"/>
              <w:right w:val="single" w:sz="4" w:space="0" w:color="auto"/>
            </w:tcBorders>
            <w:shd w:val="clear" w:color="auto" w:fill="auto"/>
            <w:noWrap/>
            <w:vAlign w:val="bottom"/>
          </w:tcPr>
          <w:p w14:paraId="5FA3926E" w14:textId="272703DE"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West Coast</w:t>
            </w:r>
          </w:p>
        </w:tc>
        <w:tc>
          <w:tcPr>
            <w:tcW w:w="897" w:type="dxa"/>
            <w:tcBorders>
              <w:top w:val="nil"/>
              <w:left w:val="single" w:sz="4" w:space="0" w:color="auto"/>
              <w:bottom w:val="nil"/>
              <w:right w:val="single" w:sz="4" w:space="0" w:color="auto"/>
            </w:tcBorders>
            <w:shd w:val="clear" w:color="auto" w:fill="auto"/>
            <w:noWrap/>
            <w:vAlign w:val="bottom"/>
          </w:tcPr>
          <w:p w14:paraId="2135651F" w14:textId="1ECC205C"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3</w:t>
            </w:r>
          </w:p>
        </w:tc>
        <w:tc>
          <w:tcPr>
            <w:tcW w:w="725" w:type="dxa"/>
            <w:tcBorders>
              <w:top w:val="nil"/>
              <w:left w:val="single" w:sz="4" w:space="0" w:color="auto"/>
              <w:bottom w:val="nil"/>
              <w:right w:val="single" w:sz="4" w:space="0" w:color="auto"/>
            </w:tcBorders>
            <w:shd w:val="clear" w:color="auto" w:fill="auto"/>
            <w:noWrap/>
            <w:vAlign w:val="bottom"/>
          </w:tcPr>
          <w:p w14:paraId="187523F7" w14:textId="1802328E"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25</w:t>
            </w:r>
          </w:p>
        </w:tc>
        <w:tc>
          <w:tcPr>
            <w:tcW w:w="987" w:type="dxa"/>
            <w:tcBorders>
              <w:top w:val="nil"/>
              <w:left w:val="single" w:sz="4" w:space="0" w:color="auto"/>
              <w:bottom w:val="nil"/>
              <w:right w:val="single" w:sz="4" w:space="0" w:color="auto"/>
            </w:tcBorders>
            <w:shd w:val="clear" w:color="auto" w:fill="auto"/>
            <w:vAlign w:val="bottom"/>
          </w:tcPr>
          <w:p w14:paraId="647F4B21" w14:textId="275A2FDA"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-10</w:t>
            </w:r>
          </w:p>
        </w:tc>
        <w:tc>
          <w:tcPr>
            <w:tcW w:w="852" w:type="dxa"/>
            <w:tcBorders>
              <w:top w:val="nil"/>
              <w:left w:val="single" w:sz="4" w:space="0" w:color="auto"/>
              <w:bottom w:val="nil"/>
              <w:right w:val="single" w:sz="18" w:space="0" w:color="auto"/>
            </w:tcBorders>
            <w:shd w:val="clear" w:color="auto" w:fill="auto"/>
            <w:vAlign w:val="bottom"/>
          </w:tcPr>
          <w:p w14:paraId="027227AE" w14:textId="49EA95DC"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-45.5</w:t>
            </w:r>
          </w:p>
        </w:tc>
        <w:tc>
          <w:tcPr>
            <w:tcW w:w="897" w:type="dxa"/>
            <w:tcBorders>
              <w:top w:val="nil"/>
              <w:left w:val="single" w:sz="18" w:space="0" w:color="auto"/>
              <w:bottom w:val="nil"/>
              <w:right w:val="single" w:sz="4" w:space="0" w:color="auto"/>
            </w:tcBorders>
            <w:shd w:val="clear" w:color="auto" w:fill="auto"/>
            <w:vAlign w:val="center"/>
          </w:tcPr>
          <w:p w14:paraId="7068F25C" w14:textId="478406B1"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-15</w:t>
            </w:r>
          </w:p>
        </w:tc>
        <w:tc>
          <w:tcPr>
            <w:tcW w:w="1091" w:type="dxa"/>
            <w:tcBorders>
              <w:top w:val="nil"/>
              <w:left w:val="single" w:sz="4" w:space="0" w:color="auto"/>
              <w:bottom w:val="nil"/>
              <w:right w:val="nil"/>
            </w:tcBorders>
            <w:shd w:val="clear" w:color="auto" w:fill="auto"/>
            <w:vAlign w:val="center"/>
          </w:tcPr>
          <w:p w14:paraId="05269D74" w14:textId="2F01921D"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-19%</w:t>
            </w:r>
          </w:p>
        </w:tc>
      </w:tr>
      <w:tr w:rsidR="00E666E4" w:rsidRPr="000B4271" w14:paraId="0C223E3C" w14:textId="35731015" w:rsidTr="00E666E4">
        <w:trPr>
          <w:trHeight w:val="267"/>
          <w:jc w:val="center"/>
        </w:trPr>
        <w:tc>
          <w:tcPr>
            <w:tcW w:w="2206" w:type="dxa"/>
            <w:tcBorders>
              <w:top w:val="nil"/>
              <w:left w:val="nil"/>
              <w:bottom w:val="nil"/>
              <w:right w:val="single" w:sz="4" w:space="0" w:color="auto"/>
            </w:tcBorders>
            <w:shd w:val="clear" w:color="auto" w:fill="auto"/>
            <w:noWrap/>
            <w:vAlign w:val="bottom"/>
          </w:tcPr>
          <w:p w14:paraId="2B318101" w14:textId="6A4F25E5"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South Canterbury</w:t>
            </w:r>
          </w:p>
        </w:tc>
        <w:tc>
          <w:tcPr>
            <w:tcW w:w="897" w:type="dxa"/>
            <w:tcBorders>
              <w:top w:val="nil"/>
              <w:left w:val="single" w:sz="4" w:space="0" w:color="auto"/>
              <w:bottom w:val="nil"/>
              <w:right w:val="single" w:sz="4" w:space="0" w:color="auto"/>
            </w:tcBorders>
            <w:shd w:val="clear" w:color="auto" w:fill="auto"/>
            <w:noWrap/>
            <w:vAlign w:val="bottom"/>
          </w:tcPr>
          <w:p w14:paraId="252EBB43" w14:textId="796DA757"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6</w:t>
            </w:r>
          </w:p>
        </w:tc>
        <w:tc>
          <w:tcPr>
            <w:tcW w:w="725" w:type="dxa"/>
            <w:tcBorders>
              <w:top w:val="nil"/>
              <w:left w:val="single" w:sz="4" w:space="0" w:color="auto"/>
              <w:bottom w:val="nil"/>
              <w:right w:val="single" w:sz="4" w:space="0" w:color="auto"/>
            </w:tcBorders>
            <w:shd w:val="clear" w:color="auto" w:fill="auto"/>
            <w:noWrap/>
            <w:vAlign w:val="bottom"/>
          </w:tcPr>
          <w:p w14:paraId="0CD2C027" w14:textId="7EB9BD0C"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20</w:t>
            </w:r>
          </w:p>
        </w:tc>
        <w:tc>
          <w:tcPr>
            <w:tcW w:w="987" w:type="dxa"/>
            <w:tcBorders>
              <w:top w:val="nil"/>
              <w:left w:val="single" w:sz="4" w:space="0" w:color="auto"/>
              <w:bottom w:val="nil"/>
              <w:right w:val="single" w:sz="4" w:space="0" w:color="auto"/>
            </w:tcBorders>
            <w:shd w:val="clear" w:color="auto" w:fill="auto"/>
            <w:vAlign w:val="bottom"/>
          </w:tcPr>
          <w:p w14:paraId="1A3CBE2A" w14:textId="36966CB9"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-20</w:t>
            </w:r>
          </w:p>
        </w:tc>
        <w:tc>
          <w:tcPr>
            <w:tcW w:w="852" w:type="dxa"/>
            <w:tcBorders>
              <w:top w:val="nil"/>
              <w:left w:val="single" w:sz="4" w:space="0" w:color="auto"/>
              <w:bottom w:val="nil"/>
              <w:right w:val="single" w:sz="18" w:space="0" w:color="auto"/>
            </w:tcBorders>
            <w:shd w:val="clear" w:color="auto" w:fill="auto"/>
            <w:vAlign w:val="bottom"/>
          </w:tcPr>
          <w:p w14:paraId="2757FE24" w14:textId="43D5B652"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-51.3</w:t>
            </w:r>
          </w:p>
        </w:tc>
        <w:tc>
          <w:tcPr>
            <w:tcW w:w="897" w:type="dxa"/>
            <w:tcBorders>
              <w:top w:val="nil"/>
              <w:left w:val="single" w:sz="18" w:space="0" w:color="auto"/>
              <w:bottom w:val="nil"/>
              <w:right w:val="single" w:sz="4" w:space="0" w:color="auto"/>
            </w:tcBorders>
            <w:shd w:val="clear" w:color="auto" w:fill="auto"/>
            <w:vAlign w:val="center"/>
          </w:tcPr>
          <w:p w14:paraId="75BD7D59" w14:textId="78C03BB5"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-11</w:t>
            </w:r>
          </w:p>
        </w:tc>
        <w:tc>
          <w:tcPr>
            <w:tcW w:w="1091" w:type="dxa"/>
            <w:tcBorders>
              <w:top w:val="nil"/>
              <w:left w:val="single" w:sz="4" w:space="0" w:color="auto"/>
              <w:bottom w:val="nil"/>
              <w:right w:val="nil"/>
            </w:tcBorders>
            <w:shd w:val="clear" w:color="auto" w:fill="auto"/>
            <w:vAlign w:val="center"/>
          </w:tcPr>
          <w:p w14:paraId="017EAA1C" w14:textId="01BF7962"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-8%</w:t>
            </w:r>
          </w:p>
        </w:tc>
      </w:tr>
      <w:tr w:rsidR="00E666E4" w:rsidRPr="000B4271" w14:paraId="716CDC5A" w14:textId="7350A180" w:rsidTr="00E666E4">
        <w:trPr>
          <w:trHeight w:val="267"/>
          <w:jc w:val="center"/>
        </w:trPr>
        <w:tc>
          <w:tcPr>
            <w:tcW w:w="2206" w:type="dxa"/>
            <w:tcBorders>
              <w:top w:val="nil"/>
              <w:left w:val="nil"/>
              <w:bottom w:val="nil"/>
              <w:right w:val="single" w:sz="4" w:space="0" w:color="auto"/>
            </w:tcBorders>
            <w:shd w:val="clear" w:color="auto" w:fill="auto"/>
            <w:noWrap/>
            <w:vAlign w:val="bottom"/>
          </w:tcPr>
          <w:p w14:paraId="18BA41C4" w14:textId="29A04400"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Lakes</w:t>
            </w:r>
          </w:p>
        </w:tc>
        <w:tc>
          <w:tcPr>
            <w:tcW w:w="897" w:type="dxa"/>
            <w:tcBorders>
              <w:top w:val="nil"/>
              <w:left w:val="single" w:sz="4" w:space="0" w:color="auto"/>
              <w:bottom w:val="nil"/>
              <w:right w:val="single" w:sz="4" w:space="0" w:color="auto"/>
            </w:tcBorders>
            <w:shd w:val="clear" w:color="auto" w:fill="auto"/>
            <w:noWrap/>
            <w:vAlign w:val="bottom"/>
          </w:tcPr>
          <w:p w14:paraId="3C79B7FF" w14:textId="045D6B9A"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12</w:t>
            </w:r>
          </w:p>
        </w:tc>
        <w:tc>
          <w:tcPr>
            <w:tcW w:w="725" w:type="dxa"/>
            <w:tcBorders>
              <w:top w:val="nil"/>
              <w:left w:val="single" w:sz="4" w:space="0" w:color="auto"/>
              <w:bottom w:val="nil"/>
              <w:right w:val="single" w:sz="4" w:space="0" w:color="auto"/>
            </w:tcBorders>
            <w:shd w:val="clear" w:color="auto" w:fill="auto"/>
            <w:noWrap/>
            <w:vAlign w:val="bottom"/>
          </w:tcPr>
          <w:p w14:paraId="24948988" w14:textId="0EF5B4E3"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21.8</w:t>
            </w:r>
          </w:p>
        </w:tc>
        <w:tc>
          <w:tcPr>
            <w:tcW w:w="987" w:type="dxa"/>
            <w:tcBorders>
              <w:top w:val="nil"/>
              <w:left w:val="single" w:sz="4" w:space="0" w:color="auto"/>
              <w:bottom w:val="nil"/>
              <w:right w:val="single" w:sz="4" w:space="0" w:color="auto"/>
            </w:tcBorders>
            <w:shd w:val="clear" w:color="auto" w:fill="auto"/>
            <w:vAlign w:val="bottom"/>
          </w:tcPr>
          <w:p w14:paraId="7750A794" w14:textId="032915F3"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-35</w:t>
            </w:r>
          </w:p>
        </w:tc>
        <w:tc>
          <w:tcPr>
            <w:tcW w:w="852" w:type="dxa"/>
            <w:tcBorders>
              <w:top w:val="nil"/>
              <w:left w:val="single" w:sz="4" w:space="0" w:color="auto"/>
              <w:bottom w:val="nil"/>
              <w:right w:val="single" w:sz="18" w:space="0" w:color="auto"/>
            </w:tcBorders>
            <w:shd w:val="clear" w:color="auto" w:fill="auto"/>
            <w:vAlign w:val="bottom"/>
          </w:tcPr>
          <w:p w14:paraId="6C39DCB6" w14:textId="5A3BC891"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-56.5</w:t>
            </w:r>
          </w:p>
        </w:tc>
        <w:tc>
          <w:tcPr>
            <w:tcW w:w="897" w:type="dxa"/>
            <w:tcBorders>
              <w:top w:val="nil"/>
              <w:left w:val="single" w:sz="18" w:space="0" w:color="auto"/>
              <w:bottom w:val="nil"/>
              <w:right w:val="single" w:sz="4" w:space="0" w:color="auto"/>
            </w:tcBorders>
            <w:shd w:val="clear" w:color="auto" w:fill="auto"/>
            <w:vAlign w:val="center"/>
          </w:tcPr>
          <w:p w14:paraId="02D52D61" w14:textId="428A52D9"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-10</w:t>
            </w:r>
          </w:p>
        </w:tc>
        <w:tc>
          <w:tcPr>
            <w:tcW w:w="1091" w:type="dxa"/>
            <w:tcBorders>
              <w:top w:val="nil"/>
              <w:left w:val="single" w:sz="4" w:space="0" w:color="auto"/>
              <w:bottom w:val="nil"/>
              <w:right w:val="nil"/>
            </w:tcBorders>
            <w:shd w:val="clear" w:color="auto" w:fill="auto"/>
            <w:vAlign w:val="center"/>
          </w:tcPr>
          <w:p w14:paraId="473A8E12" w14:textId="4F991617"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-4%</w:t>
            </w:r>
          </w:p>
        </w:tc>
      </w:tr>
      <w:tr w:rsidR="00E666E4" w:rsidRPr="000B4271" w14:paraId="2C212B38" w14:textId="2C692C59" w:rsidTr="00E666E4">
        <w:trPr>
          <w:trHeight w:val="267"/>
          <w:jc w:val="center"/>
        </w:trPr>
        <w:tc>
          <w:tcPr>
            <w:tcW w:w="2206" w:type="dxa"/>
            <w:tcBorders>
              <w:top w:val="nil"/>
              <w:left w:val="nil"/>
              <w:bottom w:val="nil"/>
              <w:right w:val="single" w:sz="4" w:space="0" w:color="auto"/>
            </w:tcBorders>
            <w:shd w:val="clear" w:color="auto" w:fill="auto"/>
            <w:noWrap/>
            <w:vAlign w:val="bottom"/>
          </w:tcPr>
          <w:p w14:paraId="784E6081" w14:textId="3EF1403B"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Auckland</w:t>
            </w:r>
          </w:p>
        </w:tc>
        <w:tc>
          <w:tcPr>
            <w:tcW w:w="897" w:type="dxa"/>
            <w:tcBorders>
              <w:top w:val="nil"/>
              <w:left w:val="single" w:sz="4" w:space="0" w:color="auto"/>
              <w:bottom w:val="nil"/>
              <w:right w:val="single" w:sz="4" w:space="0" w:color="auto"/>
            </w:tcBorders>
            <w:shd w:val="clear" w:color="auto" w:fill="auto"/>
            <w:noWrap/>
            <w:vAlign w:val="bottom"/>
          </w:tcPr>
          <w:p w14:paraId="71D91FC9" w14:textId="4839E309"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28</w:t>
            </w:r>
          </w:p>
        </w:tc>
        <w:tc>
          <w:tcPr>
            <w:tcW w:w="725" w:type="dxa"/>
            <w:tcBorders>
              <w:top w:val="nil"/>
              <w:left w:val="single" w:sz="4" w:space="0" w:color="auto"/>
              <w:bottom w:val="nil"/>
              <w:right w:val="single" w:sz="4" w:space="0" w:color="auto"/>
            </w:tcBorders>
            <w:shd w:val="clear" w:color="auto" w:fill="auto"/>
            <w:noWrap/>
            <w:vAlign w:val="bottom"/>
          </w:tcPr>
          <w:p w14:paraId="31A543A7" w14:textId="6FC7B4AC"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21.4</w:t>
            </w:r>
          </w:p>
        </w:tc>
        <w:tc>
          <w:tcPr>
            <w:tcW w:w="987" w:type="dxa"/>
            <w:tcBorders>
              <w:top w:val="nil"/>
              <w:left w:val="single" w:sz="4" w:space="0" w:color="auto"/>
              <w:bottom w:val="nil"/>
              <w:right w:val="single" w:sz="4" w:space="0" w:color="auto"/>
            </w:tcBorders>
            <w:shd w:val="clear" w:color="auto" w:fill="auto"/>
            <w:vAlign w:val="bottom"/>
          </w:tcPr>
          <w:p w14:paraId="59D71AB6" w14:textId="5B6B139C"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-21</w:t>
            </w:r>
          </w:p>
        </w:tc>
        <w:tc>
          <w:tcPr>
            <w:tcW w:w="852" w:type="dxa"/>
            <w:tcBorders>
              <w:top w:val="nil"/>
              <w:left w:val="single" w:sz="4" w:space="0" w:color="auto"/>
              <w:bottom w:val="nil"/>
              <w:right w:val="single" w:sz="18" w:space="0" w:color="auto"/>
            </w:tcBorders>
            <w:shd w:val="clear" w:color="auto" w:fill="auto"/>
            <w:vAlign w:val="bottom"/>
          </w:tcPr>
          <w:p w14:paraId="2C28A3CA" w14:textId="35DC1B85"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-22.1</w:t>
            </w:r>
          </w:p>
        </w:tc>
        <w:tc>
          <w:tcPr>
            <w:tcW w:w="897" w:type="dxa"/>
            <w:tcBorders>
              <w:top w:val="nil"/>
              <w:left w:val="single" w:sz="18" w:space="0" w:color="auto"/>
              <w:bottom w:val="nil"/>
              <w:right w:val="single" w:sz="4" w:space="0" w:color="auto"/>
            </w:tcBorders>
            <w:shd w:val="clear" w:color="auto" w:fill="auto"/>
            <w:vAlign w:val="center"/>
          </w:tcPr>
          <w:p w14:paraId="2E2056E6" w14:textId="58187A9B"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-9</w:t>
            </w:r>
          </w:p>
        </w:tc>
        <w:tc>
          <w:tcPr>
            <w:tcW w:w="1091" w:type="dxa"/>
            <w:tcBorders>
              <w:top w:val="nil"/>
              <w:left w:val="single" w:sz="4" w:space="0" w:color="auto"/>
              <w:bottom w:val="nil"/>
              <w:right w:val="nil"/>
            </w:tcBorders>
            <w:shd w:val="clear" w:color="auto" w:fill="auto"/>
            <w:vAlign w:val="center"/>
          </w:tcPr>
          <w:p w14:paraId="29B27937" w14:textId="3E247C7A"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-2%</w:t>
            </w:r>
          </w:p>
        </w:tc>
      </w:tr>
      <w:tr w:rsidR="00E666E4" w:rsidRPr="000B4271" w14:paraId="26FDF551" w14:textId="3EE10DA5" w:rsidTr="00E666E4">
        <w:trPr>
          <w:trHeight w:val="267"/>
          <w:jc w:val="center"/>
        </w:trPr>
        <w:tc>
          <w:tcPr>
            <w:tcW w:w="2206" w:type="dxa"/>
            <w:tcBorders>
              <w:top w:val="nil"/>
              <w:left w:val="nil"/>
              <w:bottom w:val="nil"/>
              <w:right w:val="single" w:sz="4" w:space="0" w:color="auto"/>
            </w:tcBorders>
            <w:shd w:val="clear" w:color="auto" w:fill="auto"/>
            <w:noWrap/>
            <w:vAlign w:val="bottom"/>
          </w:tcPr>
          <w:p w14:paraId="0F83DD1C" w14:textId="18C82AF1"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Wairarapa</w:t>
            </w:r>
          </w:p>
        </w:tc>
        <w:tc>
          <w:tcPr>
            <w:tcW w:w="897" w:type="dxa"/>
            <w:tcBorders>
              <w:top w:val="nil"/>
              <w:left w:val="single" w:sz="4" w:space="0" w:color="auto"/>
              <w:bottom w:val="nil"/>
              <w:right w:val="single" w:sz="4" w:space="0" w:color="auto"/>
            </w:tcBorders>
            <w:shd w:val="clear" w:color="auto" w:fill="auto"/>
            <w:noWrap/>
            <w:vAlign w:val="bottom"/>
          </w:tcPr>
          <w:p w14:paraId="50C645E0" w14:textId="52241220"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-5</w:t>
            </w:r>
          </w:p>
        </w:tc>
        <w:tc>
          <w:tcPr>
            <w:tcW w:w="725" w:type="dxa"/>
            <w:tcBorders>
              <w:top w:val="nil"/>
              <w:left w:val="single" w:sz="4" w:space="0" w:color="auto"/>
              <w:bottom w:val="nil"/>
              <w:right w:val="single" w:sz="4" w:space="0" w:color="auto"/>
            </w:tcBorders>
            <w:shd w:val="clear" w:color="auto" w:fill="auto"/>
            <w:noWrap/>
            <w:vAlign w:val="bottom"/>
          </w:tcPr>
          <w:p w14:paraId="61737FE2" w14:textId="4CD846C4"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-14.3</w:t>
            </w:r>
          </w:p>
        </w:tc>
        <w:tc>
          <w:tcPr>
            <w:tcW w:w="987" w:type="dxa"/>
            <w:tcBorders>
              <w:top w:val="nil"/>
              <w:left w:val="single" w:sz="4" w:space="0" w:color="auto"/>
              <w:bottom w:val="nil"/>
              <w:right w:val="single" w:sz="4" w:space="0" w:color="auto"/>
            </w:tcBorders>
            <w:shd w:val="clear" w:color="auto" w:fill="auto"/>
            <w:vAlign w:val="bottom"/>
          </w:tcPr>
          <w:p w14:paraId="5AD54489" w14:textId="201FB1AF"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-7</w:t>
            </w:r>
          </w:p>
        </w:tc>
        <w:tc>
          <w:tcPr>
            <w:tcW w:w="852" w:type="dxa"/>
            <w:tcBorders>
              <w:top w:val="nil"/>
              <w:left w:val="single" w:sz="4" w:space="0" w:color="auto"/>
              <w:bottom w:val="nil"/>
              <w:right w:val="single" w:sz="18" w:space="0" w:color="auto"/>
            </w:tcBorders>
            <w:shd w:val="clear" w:color="auto" w:fill="auto"/>
            <w:vAlign w:val="bottom"/>
          </w:tcPr>
          <w:p w14:paraId="42B3348E" w14:textId="7AF0504D"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-29.2</w:t>
            </w:r>
          </w:p>
        </w:tc>
        <w:tc>
          <w:tcPr>
            <w:tcW w:w="897" w:type="dxa"/>
            <w:tcBorders>
              <w:top w:val="nil"/>
              <w:left w:val="single" w:sz="18" w:space="0" w:color="auto"/>
              <w:bottom w:val="nil"/>
              <w:right w:val="single" w:sz="4" w:space="0" w:color="auto"/>
            </w:tcBorders>
            <w:shd w:val="clear" w:color="auto" w:fill="auto"/>
            <w:vAlign w:val="center"/>
          </w:tcPr>
          <w:p w14:paraId="6FF3FDEE" w14:textId="70458FFB"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-5</w:t>
            </w:r>
          </w:p>
        </w:tc>
        <w:tc>
          <w:tcPr>
            <w:tcW w:w="1091" w:type="dxa"/>
            <w:tcBorders>
              <w:top w:val="nil"/>
              <w:left w:val="single" w:sz="4" w:space="0" w:color="auto"/>
              <w:bottom w:val="nil"/>
              <w:right w:val="nil"/>
            </w:tcBorders>
            <w:shd w:val="clear" w:color="auto" w:fill="auto"/>
            <w:vAlign w:val="center"/>
          </w:tcPr>
          <w:p w14:paraId="7E618533" w14:textId="37B193AF"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-5%</w:t>
            </w:r>
          </w:p>
        </w:tc>
      </w:tr>
      <w:tr w:rsidR="00E666E4" w:rsidRPr="000B4271" w14:paraId="24760636" w14:textId="7E3FEB89" w:rsidTr="00E666E4">
        <w:trPr>
          <w:trHeight w:val="267"/>
          <w:jc w:val="center"/>
        </w:trPr>
        <w:tc>
          <w:tcPr>
            <w:tcW w:w="2206" w:type="dxa"/>
            <w:tcBorders>
              <w:top w:val="nil"/>
              <w:left w:val="nil"/>
              <w:bottom w:val="nil"/>
              <w:right w:val="single" w:sz="4" w:space="0" w:color="auto"/>
            </w:tcBorders>
            <w:shd w:val="clear" w:color="auto" w:fill="auto"/>
            <w:noWrap/>
            <w:vAlign w:val="bottom"/>
          </w:tcPr>
          <w:p w14:paraId="77B8F3B2" w14:textId="327B7206"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Whanganui</w:t>
            </w:r>
          </w:p>
        </w:tc>
        <w:tc>
          <w:tcPr>
            <w:tcW w:w="897" w:type="dxa"/>
            <w:tcBorders>
              <w:top w:val="nil"/>
              <w:left w:val="single" w:sz="4" w:space="0" w:color="auto"/>
              <w:bottom w:val="nil"/>
              <w:right w:val="single" w:sz="4" w:space="0" w:color="auto"/>
            </w:tcBorders>
            <w:shd w:val="clear" w:color="auto" w:fill="auto"/>
            <w:noWrap/>
            <w:vAlign w:val="bottom"/>
          </w:tcPr>
          <w:p w14:paraId="0D69FA9D" w14:textId="44D214AA"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12</w:t>
            </w:r>
          </w:p>
        </w:tc>
        <w:tc>
          <w:tcPr>
            <w:tcW w:w="725" w:type="dxa"/>
            <w:tcBorders>
              <w:top w:val="nil"/>
              <w:left w:val="single" w:sz="4" w:space="0" w:color="auto"/>
              <w:bottom w:val="nil"/>
              <w:right w:val="single" w:sz="4" w:space="0" w:color="auto"/>
            </w:tcBorders>
            <w:shd w:val="clear" w:color="auto" w:fill="auto"/>
            <w:noWrap/>
            <w:vAlign w:val="bottom"/>
          </w:tcPr>
          <w:p w14:paraId="35C011C2" w14:textId="4A6F9859"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24.5</w:t>
            </w:r>
          </w:p>
        </w:tc>
        <w:tc>
          <w:tcPr>
            <w:tcW w:w="987" w:type="dxa"/>
            <w:tcBorders>
              <w:top w:val="nil"/>
              <w:left w:val="single" w:sz="4" w:space="0" w:color="auto"/>
              <w:bottom w:val="nil"/>
              <w:right w:val="single" w:sz="4" w:space="0" w:color="auto"/>
            </w:tcBorders>
            <w:shd w:val="clear" w:color="auto" w:fill="auto"/>
            <w:vAlign w:val="bottom"/>
          </w:tcPr>
          <w:p w14:paraId="753BEA44" w14:textId="363458F6"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-23</w:t>
            </w:r>
          </w:p>
        </w:tc>
        <w:tc>
          <w:tcPr>
            <w:tcW w:w="852" w:type="dxa"/>
            <w:tcBorders>
              <w:top w:val="nil"/>
              <w:left w:val="single" w:sz="4" w:space="0" w:color="auto"/>
              <w:bottom w:val="nil"/>
              <w:right w:val="single" w:sz="18" w:space="0" w:color="auto"/>
            </w:tcBorders>
            <w:shd w:val="clear" w:color="auto" w:fill="auto"/>
            <w:vAlign w:val="bottom"/>
          </w:tcPr>
          <w:p w14:paraId="16972A84" w14:textId="1145ABEA"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-47.9</w:t>
            </w:r>
          </w:p>
        </w:tc>
        <w:tc>
          <w:tcPr>
            <w:tcW w:w="897" w:type="dxa"/>
            <w:tcBorders>
              <w:top w:val="nil"/>
              <w:left w:val="single" w:sz="18" w:space="0" w:color="auto"/>
              <w:bottom w:val="nil"/>
              <w:right w:val="single" w:sz="4" w:space="0" w:color="auto"/>
            </w:tcBorders>
            <w:shd w:val="clear" w:color="auto" w:fill="auto"/>
            <w:vAlign w:val="center"/>
          </w:tcPr>
          <w:p w14:paraId="4046CE83" w14:textId="38E0DB9E"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-3</w:t>
            </w:r>
          </w:p>
        </w:tc>
        <w:tc>
          <w:tcPr>
            <w:tcW w:w="1091" w:type="dxa"/>
            <w:tcBorders>
              <w:top w:val="nil"/>
              <w:left w:val="single" w:sz="4" w:space="0" w:color="auto"/>
              <w:bottom w:val="nil"/>
              <w:right w:val="nil"/>
            </w:tcBorders>
            <w:shd w:val="clear" w:color="auto" w:fill="auto"/>
            <w:vAlign w:val="center"/>
          </w:tcPr>
          <w:p w14:paraId="776D5925" w14:textId="25560B4D"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-1%</w:t>
            </w:r>
          </w:p>
        </w:tc>
      </w:tr>
      <w:tr w:rsidR="00E666E4" w:rsidRPr="000B4271" w14:paraId="395809BC" w14:textId="3901CD50" w:rsidTr="00E666E4">
        <w:trPr>
          <w:trHeight w:val="267"/>
          <w:jc w:val="center"/>
        </w:trPr>
        <w:tc>
          <w:tcPr>
            <w:tcW w:w="2206" w:type="dxa"/>
            <w:tcBorders>
              <w:top w:val="nil"/>
              <w:left w:val="nil"/>
              <w:bottom w:val="nil"/>
              <w:right w:val="single" w:sz="4" w:space="0" w:color="auto"/>
            </w:tcBorders>
            <w:shd w:val="clear" w:color="auto" w:fill="auto"/>
            <w:noWrap/>
            <w:vAlign w:val="bottom"/>
          </w:tcPr>
          <w:p w14:paraId="5ED90B13" w14:textId="70FC46B6"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Counties Manukau</w:t>
            </w:r>
          </w:p>
        </w:tc>
        <w:tc>
          <w:tcPr>
            <w:tcW w:w="897" w:type="dxa"/>
            <w:tcBorders>
              <w:top w:val="nil"/>
              <w:left w:val="single" w:sz="4" w:space="0" w:color="auto"/>
              <w:bottom w:val="nil"/>
              <w:right w:val="single" w:sz="4" w:space="0" w:color="auto"/>
            </w:tcBorders>
            <w:shd w:val="clear" w:color="auto" w:fill="auto"/>
            <w:noWrap/>
            <w:vAlign w:val="bottom"/>
          </w:tcPr>
          <w:p w14:paraId="478AC05A" w14:textId="1931A7BC"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22</w:t>
            </w:r>
          </w:p>
        </w:tc>
        <w:tc>
          <w:tcPr>
            <w:tcW w:w="725" w:type="dxa"/>
            <w:tcBorders>
              <w:top w:val="nil"/>
              <w:left w:val="single" w:sz="4" w:space="0" w:color="auto"/>
              <w:bottom w:val="nil"/>
              <w:right w:val="single" w:sz="4" w:space="0" w:color="auto"/>
            </w:tcBorders>
            <w:shd w:val="clear" w:color="auto" w:fill="auto"/>
            <w:noWrap/>
            <w:vAlign w:val="bottom"/>
          </w:tcPr>
          <w:p w14:paraId="31021E7A" w14:textId="20FC9544"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11.6</w:t>
            </w:r>
          </w:p>
        </w:tc>
        <w:tc>
          <w:tcPr>
            <w:tcW w:w="987" w:type="dxa"/>
            <w:tcBorders>
              <w:top w:val="nil"/>
              <w:left w:val="single" w:sz="4" w:space="0" w:color="auto"/>
              <w:bottom w:val="nil"/>
              <w:right w:val="single" w:sz="4" w:space="0" w:color="auto"/>
            </w:tcBorders>
            <w:shd w:val="clear" w:color="auto" w:fill="auto"/>
            <w:vAlign w:val="bottom"/>
          </w:tcPr>
          <w:p w14:paraId="152E4D0F" w14:textId="14F70D80"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-66</w:t>
            </w:r>
          </w:p>
        </w:tc>
        <w:tc>
          <w:tcPr>
            <w:tcW w:w="852" w:type="dxa"/>
            <w:tcBorders>
              <w:top w:val="nil"/>
              <w:left w:val="single" w:sz="4" w:space="0" w:color="auto"/>
              <w:bottom w:val="nil"/>
              <w:right w:val="single" w:sz="18" w:space="0" w:color="auto"/>
            </w:tcBorders>
            <w:shd w:val="clear" w:color="auto" w:fill="auto"/>
            <w:vAlign w:val="bottom"/>
          </w:tcPr>
          <w:p w14:paraId="2C4EE781" w14:textId="64CD9907"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-40.2</w:t>
            </w:r>
          </w:p>
        </w:tc>
        <w:tc>
          <w:tcPr>
            <w:tcW w:w="897" w:type="dxa"/>
            <w:tcBorders>
              <w:top w:val="nil"/>
              <w:left w:val="single" w:sz="18" w:space="0" w:color="auto"/>
              <w:bottom w:val="nil"/>
              <w:right w:val="single" w:sz="4" w:space="0" w:color="auto"/>
            </w:tcBorders>
            <w:shd w:val="clear" w:color="auto" w:fill="auto"/>
            <w:vAlign w:val="center"/>
          </w:tcPr>
          <w:p w14:paraId="6A141C66" w14:textId="3E747DDB"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3</w:t>
            </w:r>
          </w:p>
        </w:tc>
        <w:tc>
          <w:tcPr>
            <w:tcW w:w="1091" w:type="dxa"/>
            <w:tcBorders>
              <w:top w:val="nil"/>
              <w:left w:val="single" w:sz="4" w:space="0" w:color="auto"/>
              <w:bottom w:val="nil"/>
              <w:right w:val="nil"/>
            </w:tcBorders>
            <w:shd w:val="clear" w:color="auto" w:fill="auto"/>
            <w:vAlign w:val="center"/>
          </w:tcPr>
          <w:p w14:paraId="20925B69" w14:textId="160D0C02"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0%</w:t>
            </w:r>
          </w:p>
        </w:tc>
      </w:tr>
      <w:tr w:rsidR="00E666E4" w:rsidRPr="000B4271" w14:paraId="594D2D62" w14:textId="29C98344" w:rsidTr="00E666E4">
        <w:trPr>
          <w:trHeight w:val="267"/>
          <w:jc w:val="center"/>
        </w:trPr>
        <w:tc>
          <w:tcPr>
            <w:tcW w:w="2206" w:type="dxa"/>
            <w:tcBorders>
              <w:top w:val="nil"/>
              <w:left w:val="nil"/>
              <w:bottom w:val="nil"/>
              <w:right w:val="single" w:sz="4" w:space="0" w:color="auto"/>
            </w:tcBorders>
            <w:shd w:val="clear" w:color="auto" w:fill="auto"/>
            <w:noWrap/>
            <w:vAlign w:val="bottom"/>
          </w:tcPr>
          <w:p w14:paraId="017A3BDB" w14:textId="0D926D37"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Hutt Valley</w:t>
            </w:r>
          </w:p>
        </w:tc>
        <w:tc>
          <w:tcPr>
            <w:tcW w:w="897" w:type="dxa"/>
            <w:tcBorders>
              <w:top w:val="nil"/>
              <w:left w:val="single" w:sz="4" w:space="0" w:color="auto"/>
              <w:bottom w:val="nil"/>
              <w:right w:val="single" w:sz="4" w:space="0" w:color="auto"/>
            </w:tcBorders>
            <w:shd w:val="clear" w:color="auto" w:fill="auto"/>
            <w:noWrap/>
            <w:vAlign w:val="bottom"/>
          </w:tcPr>
          <w:p w14:paraId="4956E9C5" w14:textId="45748B35"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-4</w:t>
            </w:r>
          </w:p>
        </w:tc>
        <w:tc>
          <w:tcPr>
            <w:tcW w:w="725" w:type="dxa"/>
            <w:tcBorders>
              <w:top w:val="nil"/>
              <w:left w:val="single" w:sz="4" w:space="0" w:color="auto"/>
              <w:bottom w:val="nil"/>
              <w:right w:val="single" w:sz="4" w:space="0" w:color="auto"/>
            </w:tcBorders>
            <w:shd w:val="clear" w:color="auto" w:fill="auto"/>
            <w:noWrap/>
            <w:vAlign w:val="bottom"/>
          </w:tcPr>
          <w:p w14:paraId="265300A9" w14:textId="230D3AE2"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-4.9</w:t>
            </w:r>
          </w:p>
        </w:tc>
        <w:tc>
          <w:tcPr>
            <w:tcW w:w="987" w:type="dxa"/>
            <w:tcBorders>
              <w:top w:val="nil"/>
              <w:left w:val="single" w:sz="4" w:space="0" w:color="auto"/>
              <w:bottom w:val="nil"/>
              <w:right w:val="single" w:sz="4" w:space="0" w:color="auto"/>
            </w:tcBorders>
            <w:shd w:val="clear" w:color="auto" w:fill="auto"/>
            <w:vAlign w:val="bottom"/>
          </w:tcPr>
          <w:p w14:paraId="32BDA36B" w14:textId="4D98C6A5"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-26</w:t>
            </w:r>
          </w:p>
        </w:tc>
        <w:tc>
          <w:tcPr>
            <w:tcW w:w="852" w:type="dxa"/>
            <w:tcBorders>
              <w:top w:val="nil"/>
              <w:left w:val="single" w:sz="4" w:space="0" w:color="auto"/>
              <w:bottom w:val="nil"/>
              <w:right w:val="single" w:sz="18" w:space="0" w:color="auto"/>
            </w:tcBorders>
            <w:shd w:val="clear" w:color="auto" w:fill="auto"/>
            <w:vAlign w:val="bottom"/>
          </w:tcPr>
          <w:p w14:paraId="3032FFF0" w14:textId="790979E9"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-40.6</w:t>
            </w:r>
          </w:p>
        </w:tc>
        <w:tc>
          <w:tcPr>
            <w:tcW w:w="897" w:type="dxa"/>
            <w:tcBorders>
              <w:top w:val="nil"/>
              <w:left w:val="single" w:sz="18" w:space="0" w:color="auto"/>
              <w:bottom w:val="nil"/>
              <w:right w:val="single" w:sz="4" w:space="0" w:color="auto"/>
            </w:tcBorders>
            <w:shd w:val="clear" w:color="auto" w:fill="auto"/>
            <w:vAlign w:val="center"/>
          </w:tcPr>
          <w:p w14:paraId="2F915947" w14:textId="7B96D4E7"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4</w:t>
            </w:r>
          </w:p>
        </w:tc>
        <w:tc>
          <w:tcPr>
            <w:tcW w:w="1091" w:type="dxa"/>
            <w:tcBorders>
              <w:top w:val="nil"/>
              <w:left w:val="single" w:sz="4" w:space="0" w:color="auto"/>
              <w:bottom w:val="nil"/>
              <w:right w:val="nil"/>
            </w:tcBorders>
            <w:shd w:val="clear" w:color="auto" w:fill="auto"/>
            <w:vAlign w:val="center"/>
          </w:tcPr>
          <w:p w14:paraId="761AD062" w14:textId="6472AC75"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1%</w:t>
            </w:r>
          </w:p>
        </w:tc>
      </w:tr>
      <w:tr w:rsidR="00E666E4" w:rsidRPr="000B4271" w14:paraId="084B1AE3" w14:textId="7DB92666" w:rsidTr="00E666E4">
        <w:trPr>
          <w:trHeight w:val="267"/>
          <w:jc w:val="center"/>
        </w:trPr>
        <w:tc>
          <w:tcPr>
            <w:tcW w:w="2206" w:type="dxa"/>
            <w:tcBorders>
              <w:top w:val="nil"/>
              <w:left w:val="nil"/>
              <w:bottom w:val="nil"/>
              <w:right w:val="single" w:sz="4" w:space="0" w:color="auto"/>
            </w:tcBorders>
            <w:shd w:val="clear" w:color="auto" w:fill="auto"/>
            <w:noWrap/>
            <w:vAlign w:val="bottom"/>
          </w:tcPr>
          <w:p w14:paraId="00D2E837" w14:textId="1E4EFF2A"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Waitemata</w:t>
            </w:r>
          </w:p>
        </w:tc>
        <w:tc>
          <w:tcPr>
            <w:tcW w:w="897" w:type="dxa"/>
            <w:tcBorders>
              <w:top w:val="nil"/>
              <w:left w:val="single" w:sz="4" w:space="0" w:color="auto"/>
              <w:bottom w:val="nil"/>
              <w:right w:val="single" w:sz="4" w:space="0" w:color="auto"/>
            </w:tcBorders>
            <w:shd w:val="clear" w:color="auto" w:fill="auto"/>
            <w:noWrap/>
            <w:vAlign w:val="bottom"/>
          </w:tcPr>
          <w:p w14:paraId="362330C4" w14:textId="579FAEFF"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27</w:t>
            </w:r>
          </w:p>
        </w:tc>
        <w:tc>
          <w:tcPr>
            <w:tcW w:w="725" w:type="dxa"/>
            <w:tcBorders>
              <w:top w:val="nil"/>
              <w:left w:val="single" w:sz="4" w:space="0" w:color="auto"/>
              <w:bottom w:val="nil"/>
              <w:right w:val="single" w:sz="4" w:space="0" w:color="auto"/>
            </w:tcBorders>
            <w:shd w:val="clear" w:color="auto" w:fill="auto"/>
            <w:noWrap/>
            <w:vAlign w:val="bottom"/>
          </w:tcPr>
          <w:p w14:paraId="7F129E2D" w14:textId="24094414"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16.1</w:t>
            </w:r>
          </w:p>
        </w:tc>
        <w:tc>
          <w:tcPr>
            <w:tcW w:w="987" w:type="dxa"/>
            <w:tcBorders>
              <w:top w:val="nil"/>
              <w:left w:val="single" w:sz="4" w:space="0" w:color="auto"/>
              <w:bottom w:val="nil"/>
              <w:right w:val="single" w:sz="4" w:space="0" w:color="auto"/>
            </w:tcBorders>
            <w:shd w:val="clear" w:color="auto" w:fill="auto"/>
            <w:vAlign w:val="bottom"/>
          </w:tcPr>
          <w:p w14:paraId="43031F59" w14:textId="12858C22"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-53</w:t>
            </w:r>
          </w:p>
        </w:tc>
        <w:tc>
          <w:tcPr>
            <w:tcW w:w="852" w:type="dxa"/>
            <w:tcBorders>
              <w:top w:val="nil"/>
              <w:left w:val="single" w:sz="4" w:space="0" w:color="auto"/>
              <w:bottom w:val="nil"/>
              <w:right w:val="single" w:sz="18" w:space="0" w:color="auto"/>
            </w:tcBorders>
            <w:shd w:val="clear" w:color="auto" w:fill="auto"/>
            <w:vAlign w:val="bottom"/>
          </w:tcPr>
          <w:p w14:paraId="69D682C1" w14:textId="285DB82A"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-30.5</w:t>
            </w:r>
          </w:p>
        </w:tc>
        <w:tc>
          <w:tcPr>
            <w:tcW w:w="897" w:type="dxa"/>
            <w:tcBorders>
              <w:top w:val="nil"/>
              <w:left w:val="single" w:sz="18" w:space="0" w:color="auto"/>
              <w:bottom w:val="nil"/>
              <w:right w:val="single" w:sz="4" w:space="0" w:color="auto"/>
            </w:tcBorders>
            <w:shd w:val="clear" w:color="auto" w:fill="auto"/>
            <w:vAlign w:val="center"/>
          </w:tcPr>
          <w:p w14:paraId="656315C1" w14:textId="2E6EE57F"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22</w:t>
            </w:r>
          </w:p>
        </w:tc>
        <w:tc>
          <w:tcPr>
            <w:tcW w:w="1091" w:type="dxa"/>
            <w:tcBorders>
              <w:top w:val="nil"/>
              <w:left w:val="single" w:sz="4" w:space="0" w:color="auto"/>
              <w:bottom w:val="nil"/>
              <w:right w:val="nil"/>
            </w:tcBorders>
            <w:shd w:val="clear" w:color="auto" w:fill="auto"/>
            <w:vAlign w:val="center"/>
          </w:tcPr>
          <w:p w14:paraId="25467FAE" w14:textId="6F67027D"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3%</w:t>
            </w:r>
          </w:p>
        </w:tc>
      </w:tr>
      <w:tr w:rsidR="00E666E4" w:rsidRPr="000B4271" w14:paraId="610DFA9D" w14:textId="1C9D05A3" w:rsidTr="00E666E4">
        <w:trPr>
          <w:trHeight w:val="267"/>
          <w:jc w:val="center"/>
        </w:trPr>
        <w:tc>
          <w:tcPr>
            <w:tcW w:w="2206" w:type="dxa"/>
            <w:tcBorders>
              <w:top w:val="nil"/>
              <w:left w:val="nil"/>
              <w:right w:val="single" w:sz="4" w:space="0" w:color="auto"/>
            </w:tcBorders>
            <w:shd w:val="clear" w:color="auto" w:fill="auto"/>
            <w:noWrap/>
            <w:vAlign w:val="bottom"/>
          </w:tcPr>
          <w:p w14:paraId="445337BA" w14:textId="5DD76EF1"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MidCentral</w:t>
            </w:r>
          </w:p>
        </w:tc>
        <w:tc>
          <w:tcPr>
            <w:tcW w:w="897" w:type="dxa"/>
            <w:tcBorders>
              <w:top w:val="nil"/>
              <w:left w:val="single" w:sz="4" w:space="0" w:color="auto"/>
              <w:right w:val="single" w:sz="4" w:space="0" w:color="auto"/>
            </w:tcBorders>
            <w:shd w:val="clear" w:color="auto" w:fill="auto"/>
            <w:noWrap/>
            <w:vAlign w:val="bottom"/>
          </w:tcPr>
          <w:p w14:paraId="478DBC6D" w14:textId="2CC8055E"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23</w:t>
            </w:r>
          </w:p>
        </w:tc>
        <w:tc>
          <w:tcPr>
            <w:tcW w:w="725" w:type="dxa"/>
            <w:tcBorders>
              <w:top w:val="nil"/>
              <w:left w:val="single" w:sz="4" w:space="0" w:color="auto"/>
              <w:right w:val="single" w:sz="4" w:space="0" w:color="auto"/>
            </w:tcBorders>
            <w:shd w:val="clear" w:color="auto" w:fill="auto"/>
            <w:noWrap/>
            <w:vAlign w:val="bottom"/>
          </w:tcPr>
          <w:p w14:paraId="238283FB" w14:textId="1082BD9E"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21.3</w:t>
            </w:r>
          </w:p>
        </w:tc>
        <w:tc>
          <w:tcPr>
            <w:tcW w:w="987" w:type="dxa"/>
            <w:tcBorders>
              <w:top w:val="nil"/>
              <w:left w:val="single" w:sz="4" w:space="0" w:color="auto"/>
              <w:right w:val="single" w:sz="4" w:space="0" w:color="auto"/>
            </w:tcBorders>
            <w:shd w:val="clear" w:color="auto" w:fill="auto"/>
            <w:vAlign w:val="bottom"/>
          </w:tcPr>
          <w:p w14:paraId="4EEE065F" w14:textId="02B12168"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-44</w:t>
            </w:r>
          </w:p>
        </w:tc>
        <w:tc>
          <w:tcPr>
            <w:tcW w:w="852" w:type="dxa"/>
            <w:tcBorders>
              <w:top w:val="nil"/>
              <w:left w:val="single" w:sz="4" w:space="0" w:color="auto"/>
              <w:right w:val="single" w:sz="18" w:space="0" w:color="auto"/>
            </w:tcBorders>
            <w:shd w:val="clear" w:color="auto" w:fill="auto"/>
            <w:vAlign w:val="bottom"/>
          </w:tcPr>
          <w:p w14:paraId="1C774148" w14:textId="605B3F70"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-44</w:t>
            </w:r>
          </w:p>
        </w:tc>
        <w:tc>
          <w:tcPr>
            <w:tcW w:w="897" w:type="dxa"/>
            <w:tcBorders>
              <w:top w:val="nil"/>
              <w:left w:val="single" w:sz="18" w:space="0" w:color="auto"/>
              <w:right w:val="single" w:sz="4" w:space="0" w:color="auto"/>
            </w:tcBorders>
            <w:shd w:val="clear" w:color="auto" w:fill="auto"/>
            <w:vAlign w:val="center"/>
          </w:tcPr>
          <w:p w14:paraId="261027AC" w14:textId="279D8F6C"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32</w:t>
            </w:r>
          </w:p>
        </w:tc>
        <w:tc>
          <w:tcPr>
            <w:tcW w:w="1091" w:type="dxa"/>
            <w:tcBorders>
              <w:top w:val="nil"/>
              <w:left w:val="single" w:sz="4" w:space="0" w:color="auto"/>
              <w:right w:val="nil"/>
            </w:tcBorders>
            <w:shd w:val="clear" w:color="auto" w:fill="auto"/>
            <w:vAlign w:val="center"/>
          </w:tcPr>
          <w:p w14:paraId="54CEB405" w14:textId="6293E3A5" w:rsidR="00E666E4" w:rsidRPr="00E666E4" w:rsidRDefault="00E666E4" w:rsidP="00E666E4">
            <w:pPr>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8%</w:t>
            </w:r>
          </w:p>
        </w:tc>
      </w:tr>
      <w:tr w:rsidR="00E666E4" w:rsidRPr="000B4271" w14:paraId="237E06D8" w14:textId="18DD090C" w:rsidTr="00E666E4">
        <w:trPr>
          <w:trHeight w:val="267"/>
          <w:jc w:val="center"/>
        </w:trPr>
        <w:tc>
          <w:tcPr>
            <w:tcW w:w="2206" w:type="dxa"/>
            <w:tcBorders>
              <w:top w:val="nil"/>
              <w:left w:val="nil"/>
              <w:bottom w:val="single" w:sz="4" w:space="0" w:color="auto"/>
              <w:right w:val="single" w:sz="4" w:space="0" w:color="auto"/>
            </w:tcBorders>
            <w:shd w:val="clear" w:color="auto" w:fill="auto"/>
            <w:noWrap/>
            <w:vAlign w:val="bottom"/>
          </w:tcPr>
          <w:p w14:paraId="70544F58" w14:textId="5E9120BC"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Taranaki</w:t>
            </w:r>
          </w:p>
        </w:tc>
        <w:tc>
          <w:tcPr>
            <w:tcW w:w="897" w:type="dxa"/>
            <w:tcBorders>
              <w:top w:val="nil"/>
              <w:left w:val="single" w:sz="4" w:space="0" w:color="auto"/>
              <w:bottom w:val="single" w:sz="4" w:space="0" w:color="auto"/>
              <w:right w:val="single" w:sz="4" w:space="0" w:color="auto"/>
            </w:tcBorders>
            <w:shd w:val="clear" w:color="auto" w:fill="auto"/>
            <w:noWrap/>
            <w:vAlign w:val="bottom"/>
          </w:tcPr>
          <w:p w14:paraId="6D74DBE7" w14:textId="00A1A671" w:rsidR="00E666E4" w:rsidRPr="00E666E4" w:rsidRDefault="00E666E4" w:rsidP="00E666E4">
            <w:pPr>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32</w:t>
            </w:r>
          </w:p>
        </w:tc>
        <w:tc>
          <w:tcPr>
            <w:tcW w:w="725" w:type="dxa"/>
            <w:tcBorders>
              <w:top w:val="nil"/>
              <w:left w:val="single" w:sz="4" w:space="0" w:color="auto"/>
              <w:bottom w:val="single" w:sz="4" w:space="0" w:color="auto"/>
              <w:right w:val="single" w:sz="4" w:space="0" w:color="auto"/>
            </w:tcBorders>
            <w:shd w:val="clear" w:color="auto" w:fill="auto"/>
            <w:noWrap/>
            <w:vAlign w:val="bottom"/>
          </w:tcPr>
          <w:p w14:paraId="37250D5A" w14:textId="547ADDDE" w:rsidR="00E666E4" w:rsidRPr="00E666E4" w:rsidRDefault="00E666E4" w:rsidP="00E666E4">
            <w:pPr>
              <w:keepNext/>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56.1</w:t>
            </w:r>
          </w:p>
        </w:tc>
        <w:tc>
          <w:tcPr>
            <w:tcW w:w="987" w:type="dxa"/>
            <w:tcBorders>
              <w:top w:val="nil"/>
              <w:left w:val="single" w:sz="4" w:space="0" w:color="auto"/>
              <w:bottom w:val="single" w:sz="4" w:space="0" w:color="auto"/>
              <w:right w:val="single" w:sz="4" w:space="0" w:color="auto"/>
            </w:tcBorders>
            <w:shd w:val="clear" w:color="auto" w:fill="auto"/>
            <w:vAlign w:val="bottom"/>
          </w:tcPr>
          <w:p w14:paraId="72B0D40B" w14:textId="089E7CEC" w:rsidR="00E666E4" w:rsidRPr="00E666E4" w:rsidRDefault="00E666E4" w:rsidP="00E666E4">
            <w:pPr>
              <w:keepNext/>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-35</w:t>
            </w:r>
          </w:p>
        </w:tc>
        <w:tc>
          <w:tcPr>
            <w:tcW w:w="852" w:type="dxa"/>
            <w:tcBorders>
              <w:top w:val="nil"/>
              <w:left w:val="single" w:sz="4" w:space="0" w:color="auto"/>
              <w:bottom w:val="single" w:sz="4" w:space="0" w:color="auto"/>
              <w:right w:val="single" w:sz="18" w:space="0" w:color="auto"/>
            </w:tcBorders>
            <w:shd w:val="clear" w:color="auto" w:fill="auto"/>
            <w:vAlign w:val="bottom"/>
          </w:tcPr>
          <w:p w14:paraId="04C39D2A" w14:textId="432B1E8F" w:rsidR="00E666E4" w:rsidRPr="00E666E4" w:rsidRDefault="00E666E4" w:rsidP="00E666E4">
            <w:pPr>
              <w:keepNext/>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-44.3</w:t>
            </w:r>
          </w:p>
        </w:tc>
        <w:tc>
          <w:tcPr>
            <w:tcW w:w="897" w:type="dxa"/>
            <w:tcBorders>
              <w:top w:val="nil"/>
              <w:left w:val="single" w:sz="18" w:space="0" w:color="auto"/>
              <w:bottom w:val="single" w:sz="4" w:space="0" w:color="auto"/>
              <w:right w:val="single" w:sz="4" w:space="0" w:color="auto"/>
            </w:tcBorders>
            <w:shd w:val="clear" w:color="auto" w:fill="auto"/>
            <w:vAlign w:val="center"/>
          </w:tcPr>
          <w:p w14:paraId="5F710EC6" w14:textId="68402FF6" w:rsidR="00E666E4" w:rsidRPr="00E666E4" w:rsidRDefault="00E666E4" w:rsidP="00E666E4">
            <w:pPr>
              <w:keepNext/>
              <w:spacing w:after="0" w:line="240" w:lineRule="auto"/>
              <w:jc w:val="right"/>
              <w:rPr>
                <w:rFonts w:ascii="Calibri" w:eastAsia="Times New Roman" w:hAnsi="Calibri" w:cs="Times New Roman"/>
                <w:color w:val="000000"/>
                <w:sz w:val="20"/>
                <w:szCs w:val="20"/>
                <w:lang w:eastAsia="en-NZ"/>
              </w:rPr>
            </w:pPr>
            <w:r w:rsidRPr="00E666E4">
              <w:rPr>
                <w:rFonts w:ascii="Calibri" w:hAnsi="Calibri"/>
                <w:color w:val="000000"/>
                <w:sz w:val="20"/>
                <w:szCs w:val="20"/>
              </w:rPr>
              <w:t>46</w:t>
            </w:r>
          </w:p>
        </w:tc>
        <w:tc>
          <w:tcPr>
            <w:tcW w:w="1091" w:type="dxa"/>
            <w:tcBorders>
              <w:top w:val="nil"/>
              <w:left w:val="single" w:sz="4" w:space="0" w:color="auto"/>
              <w:bottom w:val="single" w:sz="4" w:space="0" w:color="auto"/>
              <w:right w:val="nil"/>
            </w:tcBorders>
            <w:shd w:val="clear" w:color="auto" w:fill="auto"/>
            <w:vAlign w:val="center"/>
          </w:tcPr>
          <w:p w14:paraId="0F50BCD1" w14:textId="017CCC4F" w:rsidR="00E666E4" w:rsidRPr="00E666E4" w:rsidRDefault="00E666E4" w:rsidP="00E666E4">
            <w:pPr>
              <w:keepNext/>
              <w:spacing w:after="0" w:line="240" w:lineRule="auto"/>
              <w:rPr>
                <w:rFonts w:ascii="Calibri" w:eastAsia="Times New Roman" w:hAnsi="Calibri" w:cs="Times New Roman"/>
                <w:color w:val="000000"/>
                <w:sz w:val="20"/>
                <w:szCs w:val="20"/>
                <w:lang w:eastAsia="en-NZ"/>
              </w:rPr>
            </w:pPr>
            <w:r w:rsidRPr="00E666E4">
              <w:rPr>
                <w:rFonts w:ascii="Calibri" w:hAnsi="Calibri"/>
                <w:color w:val="000000"/>
                <w:sz w:val="20"/>
                <w:szCs w:val="20"/>
              </w:rPr>
              <w:t>19%</w:t>
            </w:r>
          </w:p>
        </w:tc>
      </w:tr>
    </w:tbl>
    <w:p w14:paraId="1A06E724" w14:textId="77777777" w:rsidR="0076192F" w:rsidRDefault="0076192F" w:rsidP="0076192F">
      <w:pPr>
        <w:pStyle w:val="Heading2"/>
      </w:pPr>
      <w:r>
        <w:t>Key points</w:t>
      </w:r>
    </w:p>
    <w:p w14:paraId="15DE0A27" w14:textId="77777777" w:rsidR="0076192F" w:rsidRDefault="0076192F" w:rsidP="0076192F">
      <w:pPr>
        <w:pStyle w:val="ListParagraph"/>
        <w:numPr>
          <w:ilvl w:val="0"/>
          <w:numId w:val="34"/>
        </w:numPr>
      </w:pPr>
      <w:r>
        <w:t xml:space="preserve">There were 1031 fewer cancer registrations in April 2020 compared to April 2019. This is a 47% decrease in cancer registrations. </w:t>
      </w:r>
    </w:p>
    <w:p w14:paraId="023824E2" w14:textId="360FEDA5" w:rsidR="0076192F" w:rsidRDefault="0076192F" w:rsidP="0076192F">
      <w:pPr>
        <w:pStyle w:val="ListParagraph"/>
        <w:numPr>
          <w:ilvl w:val="0"/>
          <w:numId w:val="34"/>
        </w:numPr>
      </w:pPr>
      <w:r>
        <w:t>Overall for the year to date (up until end of April 2020), there have been 500 fewer cancer registrations compared to the same time period in 2019</w:t>
      </w:r>
      <w:r w:rsidR="002B4BA5">
        <w:t xml:space="preserve">, </w:t>
      </w:r>
      <w:r>
        <w:t xml:space="preserve">a 6% decrease. </w:t>
      </w:r>
    </w:p>
    <w:p w14:paraId="3EEB93BF" w14:textId="771394C8" w:rsidR="0076192F" w:rsidRDefault="0076192F" w:rsidP="0076192F">
      <w:pPr>
        <w:pStyle w:val="ListParagraph"/>
        <w:numPr>
          <w:ilvl w:val="0"/>
          <w:numId w:val="34"/>
        </w:numPr>
      </w:pPr>
      <w:r>
        <w:t>The decrease in cancer registrations was similar across ethnic groups. Over the year to date there was a 6% decrease in registrations for both Māori and Pacific, compared to a 7% decrease for European</w:t>
      </w:r>
      <w:r w:rsidR="00D948EA">
        <w:t>/other</w:t>
      </w:r>
      <w:r>
        <w:t xml:space="preserve">. There was an increase in registrations for Asian </w:t>
      </w:r>
      <w:r w:rsidR="00D948EA">
        <w:t>ethnic group.</w:t>
      </w:r>
      <w:r>
        <w:t xml:space="preserve"> </w:t>
      </w:r>
    </w:p>
    <w:p w14:paraId="56F4FA59" w14:textId="3BED577D" w:rsidR="00C454EE" w:rsidRDefault="00EA5A01" w:rsidP="0076192F">
      <w:pPr>
        <w:pStyle w:val="ListParagraph"/>
        <w:numPr>
          <w:ilvl w:val="0"/>
          <w:numId w:val="34"/>
        </w:numPr>
      </w:pPr>
      <w:r>
        <w:t>The decrease in registrations over the lockdown period was relatively consistent across tumour groups; however,</w:t>
      </w:r>
      <w:r w:rsidR="00D948EA">
        <w:t xml:space="preserve"> the overall impact on registrations for the year to date</w:t>
      </w:r>
      <w:r>
        <w:t xml:space="preserve"> was most marked for </w:t>
      </w:r>
      <w:r w:rsidR="0076192F">
        <w:t>prostate cancer</w:t>
      </w:r>
      <w:r w:rsidR="006724E7">
        <w:t xml:space="preserve">, </w:t>
      </w:r>
      <w:r w:rsidR="0076192F">
        <w:t>haematology/lymphoid and breast cancers.</w:t>
      </w:r>
    </w:p>
    <w:p w14:paraId="6E8FCF38" w14:textId="62867C13" w:rsidR="0076192F" w:rsidRDefault="00C454EE" w:rsidP="0076192F">
      <w:pPr>
        <w:pStyle w:val="ListParagraph"/>
        <w:numPr>
          <w:ilvl w:val="0"/>
          <w:numId w:val="34"/>
        </w:numPr>
      </w:pPr>
      <w:r>
        <w:t xml:space="preserve">In </w:t>
      </w:r>
      <w:r w:rsidR="00D948EA">
        <w:t>general,</w:t>
      </w:r>
      <w:r>
        <w:t xml:space="preserve"> i</w:t>
      </w:r>
      <w:r w:rsidRPr="00C454EE">
        <w:t xml:space="preserve">t is likely that any delays to cancer diagnosis due to temporary suspension of screening </w:t>
      </w:r>
      <w:r w:rsidR="00361851">
        <w:t>programmes</w:t>
      </w:r>
      <w:r w:rsidRPr="00C454EE">
        <w:t xml:space="preserve"> will not have been detected in the period covered here, although </w:t>
      </w:r>
      <w:r w:rsidR="00D948EA">
        <w:t>a small amount</w:t>
      </w:r>
      <w:r w:rsidRPr="00C454EE">
        <w:t xml:space="preserve"> of the decline in breast cancer registrations may be due to thi</w:t>
      </w:r>
      <w:r>
        <w:t>s</w:t>
      </w:r>
      <w:r w:rsidRPr="00023AB2">
        <w:t>.</w:t>
      </w:r>
      <w:r>
        <w:t xml:space="preserve"> </w:t>
      </w:r>
      <w:r w:rsidR="0076192F">
        <w:t xml:space="preserve"> </w:t>
      </w:r>
    </w:p>
    <w:p w14:paraId="1E0D771B" w14:textId="5F346F9C" w:rsidR="0076192F" w:rsidRDefault="002B4BA5" w:rsidP="0076192F">
      <w:pPr>
        <w:pStyle w:val="ListParagraph"/>
        <w:numPr>
          <w:ilvl w:val="0"/>
          <w:numId w:val="34"/>
        </w:numPr>
      </w:pPr>
      <w:r>
        <w:t xml:space="preserve">The decrease in cancer registrations over the lockdown period is seen relatively consistently across all DHBs. However, the impact of the lockdown on cumulative registrations for the year to date varied by DHB. </w:t>
      </w:r>
      <w:r w:rsidR="0076192F">
        <w:t xml:space="preserve">Southern DHB </w:t>
      </w:r>
      <w:r w:rsidR="00D948EA">
        <w:t xml:space="preserve">and Waikato DHB have seen the </w:t>
      </w:r>
      <w:r w:rsidR="0076192F">
        <w:t>largest decrease</w:t>
      </w:r>
      <w:r w:rsidR="00D948EA">
        <w:t xml:space="preserve"> in cancer registrations for the year to date. </w:t>
      </w:r>
    </w:p>
    <w:p w14:paraId="0DF8E921" w14:textId="4F080096" w:rsidR="00C261D3" w:rsidRDefault="00362946" w:rsidP="00C261D3">
      <w:pPr>
        <w:pStyle w:val="Heading1"/>
      </w:pPr>
      <w:bookmarkStart w:id="17" w:name="_Toc41410743"/>
      <w:bookmarkStart w:id="18" w:name="_Toc41474440"/>
      <w:r>
        <w:lastRenderedPageBreak/>
        <w:t>Gastrointestinal e</w:t>
      </w:r>
      <w:r w:rsidR="004A210E">
        <w:t>ndoscopy</w:t>
      </w:r>
      <w:bookmarkEnd w:id="17"/>
      <w:bookmarkEnd w:id="18"/>
    </w:p>
    <w:p w14:paraId="21145CAC" w14:textId="0B5E3036" w:rsidR="00F62620" w:rsidRDefault="00F62620" w:rsidP="00F62620">
      <w:pPr>
        <w:pStyle w:val="Heading2"/>
      </w:pPr>
      <w:r>
        <w:t>Notes on data</w:t>
      </w:r>
    </w:p>
    <w:p w14:paraId="79273EDA" w14:textId="330CFF97" w:rsidR="005835D5" w:rsidRDefault="003C6545" w:rsidP="005835D5">
      <w:pPr>
        <w:pStyle w:val="ListParagraph"/>
        <w:numPr>
          <w:ilvl w:val="0"/>
          <w:numId w:val="9"/>
        </w:numPr>
      </w:pPr>
      <w:r>
        <w:t>Gastrointestinal endoscopy d</w:t>
      </w:r>
      <w:r w:rsidR="005835D5">
        <w:t xml:space="preserve">ata </w:t>
      </w:r>
      <w:r w:rsidR="004C18CB">
        <w:t xml:space="preserve">were </w:t>
      </w:r>
      <w:r w:rsidR="005835D5">
        <w:t xml:space="preserve">extracted from National Non-admitted Patient Collection </w:t>
      </w:r>
      <w:r w:rsidR="00B80D55">
        <w:t xml:space="preserve">(outpatient) </w:t>
      </w:r>
      <w:r w:rsidR="005835D5">
        <w:t xml:space="preserve">and National Minimum Dataset </w:t>
      </w:r>
      <w:r w:rsidR="00B80D55">
        <w:t>(inpatient)</w:t>
      </w:r>
      <w:r w:rsidR="008161AA">
        <w:t xml:space="preserve"> on 21 May 2020.</w:t>
      </w:r>
      <w:r w:rsidR="005835D5">
        <w:t xml:space="preserve"> </w:t>
      </w:r>
    </w:p>
    <w:p w14:paraId="088C3E31" w14:textId="4FCD5BD0" w:rsidR="001C461B" w:rsidRDefault="00F62620" w:rsidP="001C461B">
      <w:pPr>
        <w:pStyle w:val="ListParagraph"/>
        <w:numPr>
          <w:ilvl w:val="0"/>
          <w:numId w:val="9"/>
        </w:numPr>
      </w:pPr>
      <w:r>
        <w:t>Includes colonoscop</w:t>
      </w:r>
      <w:r w:rsidR="005835D5">
        <w:t xml:space="preserve">ies </w:t>
      </w:r>
      <w:r>
        <w:t>and gastroscopies for all indications (</w:t>
      </w:r>
      <w:r w:rsidR="00B80D55">
        <w:t>i.e.</w:t>
      </w:r>
      <w:r>
        <w:t xml:space="preserve"> not just cancer). </w:t>
      </w:r>
    </w:p>
    <w:p w14:paraId="2534097A" w14:textId="71A31F30" w:rsidR="00F62620" w:rsidRDefault="001C461B" w:rsidP="001C461B">
      <w:pPr>
        <w:pStyle w:val="ListParagraph"/>
        <w:numPr>
          <w:ilvl w:val="0"/>
          <w:numId w:val="9"/>
        </w:numPr>
      </w:pPr>
      <w:r>
        <w:t xml:space="preserve">Technical information: </w:t>
      </w:r>
      <w:r w:rsidRPr="001C461B">
        <w:t>Gastroscopies (Purchase Unit Code - MS02005)</w:t>
      </w:r>
      <w:r>
        <w:t xml:space="preserve">, </w:t>
      </w:r>
      <w:r w:rsidRPr="001C461B">
        <w:t>Colonoscopies (Purchase Unit Code - MS02007)</w:t>
      </w:r>
      <w:r>
        <w:t xml:space="preserve">, </w:t>
      </w:r>
      <w:r w:rsidRPr="001C461B">
        <w:t>Combined Gastroscopies + Colonoscopies (Purchase Unit Code - MS020014)</w:t>
      </w:r>
      <w:r w:rsidR="005835D5">
        <w:t>.</w:t>
      </w:r>
    </w:p>
    <w:p w14:paraId="585C62BD" w14:textId="77777777" w:rsidR="00F62620" w:rsidRPr="00F62620" w:rsidRDefault="00F62620" w:rsidP="00F62620">
      <w:pPr>
        <w:pStyle w:val="Heading2"/>
      </w:pPr>
      <w:r>
        <w:t>Results</w:t>
      </w:r>
    </w:p>
    <w:p w14:paraId="6B44C932" w14:textId="3B05C9B9" w:rsidR="00C261D3" w:rsidRPr="00E46BB1" w:rsidRDefault="008161AA" w:rsidP="00E46BB1">
      <w:r>
        <w:t xml:space="preserve">There was a significant reduction in gastrointestinal endoscopies during the lock down. </w:t>
      </w:r>
      <w:r>
        <w:fldChar w:fldCharType="begin"/>
      </w:r>
      <w:r>
        <w:instrText xml:space="preserve"> REF _Ref41417062 \h </w:instrText>
      </w:r>
      <w:r>
        <w:fldChar w:fldCharType="separate"/>
      </w:r>
      <w:r w:rsidR="00CC108E">
        <w:t xml:space="preserve">Table </w:t>
      </w:r>
      <w:r w:rsidR="00CC108E">
        <w:rPr>
          <w:noProof/>
        </w:rPr>
        <w:t>4</w:t>
      </w:r>
      <w:r>
        <w:fldChar w:fldCharType="end"/>
      </w:r>
      <w:r>
        <w:t xml:space="preserve"> </w:t>
      </w:r>
      <w:r w:rsidR="00E46BB1">
        <w:t xml:space="preserve">shows the </w:t>
      </w:r>
      <w:r w:rsidR="00FE10DD">
        <w:t xml:space="preserve">percentage change in gastrointestinal endoscopy procedures in 2020 compared to 2019. This is presented as difference by </w:t>
      </w:r>
      <w:r w:rsidR="005835D5">
        <w:t xml:space="preserve">each </w:t>
      </w:r>
      <w:r w:rsidR="00FE10DD">
        <w:t xml:space="preserve">month, as well as overall difference </w:t>
      </w:r>
      <w:r w:rsidR="00154BBF">
        <w:t>for</w:t>
      </w:r>
      <w:r w:rsidR="00FE10DD">
        <w:t xml:space="preserve"> the year to date (up until the end of April 2020). </w:t>
      </w:r>
    </w:p>
    <w:p w14:paraId="1476A487" w14:textId="77BCB19C" w:rsidR="008161AA" w:rsidRDefault="008161AA" w:rsidP="008161AA">
      <w:pPr>
        <w:pStyle w:val="Caption"/>
        <w:keepNext/>
      </w:pPr>
      <w:bookmarkStart w:id="19" w:name="_Ref41417062"/>
      <w:r>
        <w:t xml:space="preserve">Table </w:t>
      </w:r>
      <w:fldSimple w:instr=" SEQ Table \* ARABIC ">
        <w:r w:rsidR="00CC108E">
          <w:rPr>
            <w:noProof/>
          </w:rPr>
          <w:t>4</w:t>
        </w:r>
      </w:fldSimple>
      <w:bookmarkEnd w:id="19"/>
      <w:r>
        <w:t xml:space="preserve">: </w:t>
      </w:r>
      <w:r w:rsidRPr="001B2E6C">
        <w:t>Percentage change in colonoscopy and gastroscopy in 2020 compared to 2019 by month, and cumulative year to date</w:t>
      </w:r>
    </w:p>
    <w:tbl>
      <w:tblPr>
        <w:tblW w:w="8701" w:type="dxa"/>
        <w:jc w:val="center"/>
        <w:tblLook w:val="05A0" w:firstRow="1" w:lastRow="0" w:firstColumn="1" w:lastColumn="1" w:noHBand="0" w:noVBand="1"/>
      </w:tblPr>
      <w:tblGrid>
        <w:gridCol w:w="2552"/>
        <w:gridCol w:w="1134"/>
        <w:gridCol w:w="1134"/>
        <w:gridCol w:w="1276"/>
        <w:gridCol w:w="1252"/>
        <w:gridCol w:w="1353"/>
      </w:tblGrid>
      <w:tr w:rsidR="00C261D3" w:rsidRPr="0017725A" w14:paraId="456F6D5B" w14:textId="77777777" w:rsidTr="00E17C67">
        <w:trPr>
          <w:trHeight w:val="205"/>
          <w:jc w:val="center"/>
        </w:trPr>
        <w:tc>
          <w:tcPr>
            <w:tcW w:w="2552" w:type="dxa"/>
            <w:tcBorders>
              <w:top w:val="nil"/>
              <w:left w:val="nil"/>
              <w:bottom w:val="single" w:sz="4" w:space="0" w:color="auto"/>
              <w:right w:val="single" w:sz="4" w:space="0" w:color="auto"/>
            </w:tcBorders>
            <w:shd w:val="clear" w:color="auto" w:fill="auto"/>
            <w:noWrap/>
            <w:vAlign w:val="bottom"/>
            <w:hideMark/>
          </w:tcPr>
          <w:p w14:paraId="48E76984" w14:textId="77777777" w:rsidR="00C261D3" w:rsidRPr="00350F72" w:rsidRDefault="00C261D3" w:rsidP="00105D77">
            <w:pPr>
              <w:spacing w:after="0" w:line="240" w:lineRule="auto"/>
              <w:rPr>
                <w:rFonts w:ascii="Times New Roman" w:eastAsia="Times New Roman" w:hAnsi="Times New Roman" w:cs="Times New Roman"/>
                <w:sz w:val="20"/>
                <w:szCs w:val="24"/>
                <w:lang w:eastAsia="en-NZ"/>
              </w:rPr>
            </w:pPr>
          </w:p>
        </w:tc>
        <w:tc>
          <w:tcPr>
            <w:tcW w:w="1134" w:type="dxa"/>
            <w:tcBorders>
              <w:left w:val="single" w:sz="4" w:space="0" w:color="auto"/>
              <w:bottom w:val="single" w:sz="4" w:space="0" w:color="auto"/>
            </w:tcBorders>
            <w:shd w:val="clear" w:color="auto" w:fill="auto"/>
            <w:noWrap/>
            <w:vAlign w:val="bottom"/>
            <w:hideMark/>
          </w:tcPr>
          <w:p w14:paraId="70C7CB96" w14:textId="77777777" w:rsidR="00C261D3" w:rsidRPr="00350F72" w:rsidRDefault="00C261D3" w:rsidP="005835D5">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Jan</w:t>
            </w:r>
          </w:p>
        </w:tc>
        <w:tc>
          <w:tcPr>
            <w:tcW w:w="1134" w:type="dxa"/>
            <w:tcBorders>
              <w:bottom w:val="single" w:sz="4" w:space="0" w:color="auto"/>
            </w:tcBorders>
            <w:shd w:val="clear" w:color="auto" w:fill="auto"/>
            <w:noWrap/>
            <w:vAlign w:val="bottom"/>
            <w:hideMark/>
          </w:tcPr>
          <w:p w14:paraId="3BDA2324" w14:textId="77777777" w:rsidR="00C261D3" w:rsidRPr="00350F72" w:rsidRDefault="00C261D3" w:rsidP="005835D5">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Feb</w:t>
            </w:r>
          </w:p>
        </w:tc>
        <w:tc>
          <w:tcPr>
            <w:tcW w:w="1276" w:type="dxa"/>
            <w:tcBorders>
              <w:bottom w:val="single" w:sz="4" w:space="0" w:color="auto"/>
            </w:tcBorders>
            <w:shd w:val="clear" w:color="auto" w:fill="auto"/>
            <w:noWrap/>
            <w:vAlign w:val="bottom"/>
            <w:hideMark/>
          </w:tcPr>
          <w:p w14:paraId="3A82FA6A" w14:textId="77777777" w:rsidR="00C261D3" w:rsidRPr="00350F72" w:rsidRDefault="00C261D3" w:rsidP="005835D5">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March</w:t>
            </w:r>
          </w:p>
        </w:tc>
        <w:tc>
          <w:tcPr>
            <w:tcW w:w="1252" w:type="dxa"/>
            <w:tcBorders>
              <w:bottom w:val="single" w:sz="4" w:space="0" w:color="auto"/>
              <w:right w:val="single" w:sz="18" w:space="0" w:color="auto"/>
            </w:tcBorders>
            <w:shd w:val="clear" w:color="auto" w:fill="auto"/>
            <w:noWrap/>
            <w:vAlign w:val="bottom"/>
            <w:hideMark/>
          </w:tcPr>
          <w:p w14:paraId="4DCD8248" w14:textId="77777777" w:rsidR="00C261D3" w:rsidRPr="00350F72" w:rsidRDefault="00C261D3" w:rsidP="005835D5">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April</w:t>
            </w:r>
          </w:p>
        </w:tc>
        <w:tc>
          <w:tcPr>
            <w:tcW w:w="1353" w:type="dxa"/>
            <w:tcBorders>
              <w:top w:val="nil"/>
              <w:left w:val="single" w:sz="18" w:space="0" w:color="auto"/>
              <w:bottom w:val="single" w:sz="4" w:space="0" w:color="auto"/>
              <w:right w:val="nil"/>
            </w:tcBorders>
            <w:shd w:val="clear" w:color="auto" w:fill="FFFFFF" w:themeFill="background1"/>
            <w:noWrap/>
            <w:vAlign w:val="bottom"/>
            <w:hideMark/>
          </w:tcPr>
          <w:p w14:paraId="600BF2D3" w14:textId="77777777" w:rsidR="00C261D3" w:rsidRPr="00350F72" w:rsidRDefault="00C261D3" w:rsidP="005835D5">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YTD</w:t>
            </w:r>
          </w:p>
        </w:tc>
      </w:tr>
      <w:tr w:rsidR="00C261D3" w:rsidRPr="0017725A" w14:paraId="2EF2AC0A" w14:textId="77777777" w:rsidTr="00E17C67">
        <w:trPr>
          <w:trHeight w:val="205"/>
          <w:jc w:val="center"/>
        </w:trPr>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673F05B8" w14:textId="77777777" w:rsidR="00C261D3" w:rsidRPr="00350F72" w:rsidRDefault="00C261D3" w:rsidP="005835D5">
            <w:pPr>
              <w:spacing w:after="0" w:line="240" w:lineRule="auto"/>
              <w:jc w:val="right"/>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Māori</w:t>
            </w:r>
          </w:p>
        </w:tc>
        <w:tc>
          <w:tcPr>
            <w:tcW w:w="1134" w:type="dxa"/>
            <w:tcBorders>
              <w:top w:val="single" w:sz="4" w:space="0" w:color="auto"/>
              <w:left w:val="single" w:sz="4" w:space="0" w:color="auto"/>
              <w:bottom w:val="single" w:sz="4" w:space="0" w:color="auto"/>
            </w:tcBorders>
            <w:shd w:val="clear" w:color="auto" w:fill="auto"/>
            <w:noWrap/>
            <w:vAlign w:val="bottom"/>
          </w:tcPr>
          <w:p w14:paraId="77CB500A" w14:textId="6F3C921D" w:rsidR="00C261D3" w:rsidRPr="00350F72" w:rsidRDefault="001C461B" w:rsidP="005835D5">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+5%</w:t>
            </w:r>
          </w:p>
        </w:tc>
        <w:tc>
          <w:tcPr>
            <w:tcW w:w="1134" w:type="dxa"/>
            <w:tcBorders>
              <w:top w:val="single" w:sz="4" w:space="0" w:color="auto"/>
              <w:bottom w:val="single" w:sz="4" w:space="0" w:color="auto"/>
            </w:tcBorders>
            <w:shd w:val="clear" w:color="auto" w:fill="auto"/>
            <w:noWrap/>
            <w:vAlign w:val="bottom"/>
          </w:tcPr>
          <w:p w14:paraId="4DCA7490" w14:textId="25D655B3" w:rsidR="00C261D3" w:rsidRPr="00350F72" w:rsidRDefault="001C461B" w:rsidP="005835D5">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+16%</w:t>
            </w:r>
          </w:p>
        </w:tc>
        <w:tc>
          <w:tcPr>
            <w:tcW w:w="1276" w:type="dxa"/>
            <w:tcBorders>
              <w:top w:val="single" w:sz="4" w:space="0" w:color="auto"/>
              <w:bottom w:val="single" w:sz="4" w:space="0" w:color="auto"/>
            </w:tcBorders>
            <w:shd w:val="clear" w:color="auto" w:fill="auto"/>
            <w:noWrap/>
            <w:vAlign w:val="bottom"/>
          </w:tcPr>
          <w:p w14:paraId="6AE68590" w14:textId="1F0FCAA3" w:rsidR="00C261D3" w:rsidRPr="00350F72" w:rsidRDefault="001C461B" w:rsidP="005835D5">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-4%</w:t>
            </w:r>
          </w:p>
        </w:tc>
        <w:tc>
          <w:tcPr>
            <w:tcW w:w="1252" w:type="dxa"/>
            <w:tcBorders>
              <w:top w:val="single" w:sz="4" w:space="0" w:color="auto"/>
              <w:bottom w:val="single" w:sz="4" w:space="0" w:color="auto"/>
              <w:right w:val="single" w:sz="18" w:space="0" w:color="auto"/>
            </w:tcBorders>
            <w:shd w:val="clear" w:color="auto" w:fill="auto"/>
            <w:noWrap/>
            <w:vAlign w:val="bottom"/>
          </w:tcPr>
          <w:p w14:paraId="289EC991" w14:textId="214F89C7" w:rsidR="00C261D3" w:rsidRPr="00350F72" w:rsidRDefault="001C461B" w:rsidP="005835D5">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-71%</w:t>
            </w:r>
          </w:p>
        </w:tc>
        <w:tc>
          <w:tcPr>
            <w:tcW w:w="1353" w:type="dxa"/>
            <w:tcBorders>
              <w:top w:val="single" w:sz="4" w:space="0" w:color="auto"/>
              <w:left w:val="single" w:sz="18" w:space="0" w:color="auto"/>
              <w:bottom w:val="single" w:sz="4" w:space="0" w:color="auto"/>
              <w:right w:val="nil"/>
            </w:tcBorders>
            <w:shd w:val="clear" w:color="auto" w:fill="FFFFFF" w:themeFill="background1"/>
            <w:noWrap/>
            <w:vAlign w:val="bottom"/>
          </w:tcPr>
          <w:p w14:paraId="6EA79B03" w14:textId="3A6911AC" w:rsidR="00C261D3" w:rsidRPr="00350F72" w:rsidRDefault="001C461B" w:rsidP="005835D5">
            <w:pPr>
              <w:keepNext/>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-13%</w:t>
            </w:r>
          </w:p>
        </w:tc>
      </w:tr>
      <w:tr w:rsidR="001C461B" w:rsidRPr="0017725A" w14:paraId="51713525" w14:textId="77777777" w:rsidTr="008161AA">
        <w:trPr>
          <w:trHeight w:val="205"/>
          <w:jc w:val="center"/>
        </w:trPr>
        <w:tc>
          <w:tcPr>
            <w:tcW w:w="2552" w:type="dxa"/>
            <w:tcBorders>
              <w:top w:val="single" w:sz="4" w:space="0" w:color="auto"/>
              <w:left w:val="nil"/>
              <w:bottom w:val="single" w:sz="18" w:space="0" w:color="auto"/>
              <w:right w:val="single" w:sz="4" w:space="0" w:color="auto"/>
            </w:tcBorders>
            <w:shd w:val="clear" w:color="auto" w:fill="auto"/>
            <w:noWrap/>
            <w:vAlign w:val="bottom"/>
          </w:tcPr>
          <w:p w14:paraId="77AB61D8" w14:textId="0F38D3D0" w:rsidR="001C461B" w:rsidRPr="00350F72" w:rsidRDefault="001C461B" w:rsidP="005835D5">
            <w:pPr>
              <w:spacing w:after="0" w:line="240" w:lineRule="auto"/>
              <w:jc w:val="right"/>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Non-Māori/Non-Pacific</w:t>
            </w:r>
          </w:p>
        </w:tc>
        <w:tc>
          <w:tcPr>
            <w:tcW w:w="1134" w:type="dxa"/>
            <w:tcBorders>
              <w:top w:val="single" w:sz="4" w:space="0" w:color="auto"/>
              <w:left w:val="single" w:sz="4" w:space="0" w:color="auto"/>
              <w:bottom w:val="single" w:sz="18" w:space="0" w:color="auto"/>
            </w:tcBorders>
            <w:shd w:val="clear" w:color="auto" w:fill="auto"/>
            <w:noWrap/>
            <w:vAlign w:val="bottom"/>
          </w:tcPr>
          <w:p w14:paraId="04D591A2" w14:textId="1D15E22D" w:rsidR="001C461B" w:rsidRPr="00350F72" w:rsidRDefault="001C461B" w:rsidP="005835D5">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+8%</w:t>
            </w:r>
          </w:p>
        </w:tc>
        <w:tc>
          <w:tcPr>
            <w:tcW w:w="1134" w:type="dxa"/>
            <w:tcBorders>
              <w:top w:val="single" w:sz="4" w:space="0" w:color="auto"/>
              <w:bottom w:val="single" w:sz="18" w:space="0" w:color="auto"/>
            </w:tcBorders>
            <w:shd w:val="clear" w:color="auto" w:fill="auto"/>
            <w:noWrap/>
            <w:vAlign w:val="bottom"/>
          </w:tcPr>
          <w:p w14:paraId="1040B890" w14:textId="002695B3" w:rsidR="001C461B" w:rsidRPr="00350F72" w:rsidRDefault="001C461B" w:rsidP="005835D5">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+6%</w:t>
            </w:r>
          </w:p>
        </w:tc>
        <w:tc>
          <w:tcPr>
            <w:tcW w:w="1276" w:type="dxa"/>
            <w:tcBorders>
              <w:top w:val="single" w:sz="4" w:space="0" w:color="auto"/>
              <w:bottom w:val="single" w:sz="18" w:space="0" w:color="auto"/>
            </w:tcBorders>
            <w:shd w:val="clear" w:color="auto" w:fill="auto"/>
            <w:noWrap/>
            <w:vAlign w:val="bottom"/>
          </w:tcPr>
          <w:p w14:paraId="1DF53572" w14:textId="5F430FD8" w:rsidR="001C461B" w:rsidRPr="00350F72" w:rsidRDefault="001C461B" w:rsidP="005835D5">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-15%</w:t>
            </w:r>
          </w:p>
        </w:tc>
        <w:tc>
          <w:tcPr>
            <w:tcW w:w="1252" w:type="dxa"/>
            <w:tcBorders>
              <w:top w:val="single" w:sz="4" w:space="0" w:color="auto"/>
              <w:bottom w:val="single" w:sz="18" w:space="0" w:color="auto"/>
              <w:right w:val="single" w:sz="18" w:space="0" w:color="auto"/>
            </w:tcBorders>
            <w:shd w:val="clear" w:color="auto" w:fill="auto"/>
            <w:noWrap/>
            <w:vAlign w:val="bottom"/>
          </w:tcPr>
          <w:p w14:paraId="631014AD" w14:textId="53369BD5" w:rsidR="001C461B" w:rsidRPr="00350F72" w:rsidRDefault="001C461B" w:rsidP="005835D5">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-80%</w:t>
            </w:r>
          </w:p>
        </w:tc>
        <w:tc>
          <w:tcPr>
            <w:tcW w:w="1353" w:type="dxa"/>
            <w:tcBorders>
              <w:top w:val="single" w:sz="4" w:space="0" w:color="auto"/>
              <w:left w:val="single" w:sz="18" w:space="0" w:color="auto"/>
              <w:bottom w:val="single" w:sz="18" w:space="0" w:color="auto"/>
              <w:right w:val="nil"/>
            </w:tcBorders>
            <w:shd w:val="clear" w:color="auto" w:fill="FFFFFF" w:themeFill="background1"/>
            <w:noWrap/>
            <w:vAlign w:val="bottom"/>
          </w:tcPr>
          <w:p w14:paraId="7AF62EE0" w14:textId="4CF11F11" w:rsidR="001C461B" w:rsidRPr="00350F72" w:rsidRDefault="001C461B" w:rsidP="005835D5">
            <w:pPr>
              <w:keepNext/>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-21%</w:t>
            </w:r>
          </w:p>
        </w:tc>
      </w:tr>
      <w:tr w:rsidR="001C461B" w:rsidRPr="0017725A" w14:paraId="43D2E968" w14:textId="77777777" w:rsidTr="008161AA">
        <w:trPr>
          <w:trHeight w:val="205"/>
          <w:jc w:val="center"/>
        </w:trPr>
        <w:tc>
          <w:tcPr>
            <w:tcW w:w="2552" w:type="dxa"/>
            <w:tcBorders>
              <w:top w:val="single" w:sz="18" w:space="0" w:color="auto"/>
              <w:left w:val="nil"/>
              <w:bottom w:val="single" w:sz="4" w:space="0" w:color="auto"/>
              <w:right w:val="single" w:sz="4" w:space="0" w:color="auto"/>
            </w:tcBorders>
            <w:shd w:val="clear" w:color="auto" w:fill="auto"/>
            <w:noWrap/>
            <w:vAlign w:val="bottom"/>
          </w:tcPr>
          <w:p w14:paraId="30176F59" w14:textId="08D4FA84" w:rsidR="001C461B" w:rsidRPr="00350F72" w:rsidRDefault="001C461B" w:rsidP="005835D5">
            <w:pPr>
              <w:spacing w:after="0" w:line="240" w:lineRule="auto"/>
              <w:jc w:val="right"/>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Total</w:t>
            </w:r>
            <w:r w:rsidR="00CA6B5F" w:rsidRPr="00350F72">
              <w:rPr>
                <w:rFonts w:ascii="Calibri" w:eastAsia="Times New Roman" w:hAnsi="Calibri" w:cs="Times New Roman"/>
                <w:color w:val="000000"/>
                <w:sz w:val="20"/>
                <w:lang w:eastAsia="en-NZ"/>
              </w:rPr>
              <w:t xml:space="preserve"> population</w:t>
            </w:r>
          </w:p>
        </w:tc>
        <w:tc>
          <w:tcPr>
            <w:tcW w:w="1134" w:type="dxa"/>
            <w:tcBorders>
              <w:top w:val="single" w:sz="18" w:space="0" w:color="auto"/>
              <w:left w:val="single" w:sz="4" w:space="0" w:color="auto"/>
              <w:bottom w:val="single" w:sz="4" w:space="0" w:color="auto"/>
            </w:tcBorders>
            <w:shd w:val="clear" w:color="auto" w:fill="auto"/>
            <w:noWrap/>
            <w:vAlign w:val="bottom"/>
          </w:tcPr>
          <w:p w14:paraId="0E177AA2" w14:textId="65C75C48" w:rsidR="001C461B" w:rsidRPr="00350F72" w:rsidRDefault="001C461B" w:rsidP="005835D5">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+9%</w:t>
            </w:r>
          </w:p>
        </w:tc>
        <w:tc>
          <w:tcPr>
            <w:tcW w:w="1134" w:type="dxa"/>
            <w:tcBorders>
              <w:top w:val="single" w:sz="18" w:space="0" w:color="auto"/>
              <w:bottom w:val="single" w:sz="4" w:space="0" w:color="auto"/>
            </w:tcBorders>
            <w:shd w:val="clear" w:color="auto" w:fill="auto"/>
            <w:noWrap/>
            <w:vAlign w:val="bottom"/>
          </w:tcPr>
          <w:p w14:paraId="35C84F66" w14:textId="2C2C1D7C" w:rsidR="001C461B" w:rsidRPr="00350F72" w:rsidRDefault="001C461B" w:rsidP="005835D5">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+7%</w:t>
            </w:r>
          </w:p>
        </w:tc>
        <w:tc>
          <w:tcPr>
            <w:tcW w:w="1276" w:type="dxa"/>
            <w:tcBorders>
              <w:top w:val="single" w:sz="18" w:space="0" w:color="auto"/>
              <w:bottom w:val="single" w:sz="4" w:space="0" w:color="auto"/>
            </w:tcBorders>
            <w:shd w:val="clear" w:color="auto" w:fill="auto"/>
            <w:noWrap/>
            <w:vAlign w:val="bottom"/>
          </w:tcPr>
          <w:p w14:paraId="609ADEE2" w14:textId="79E6B8B9" w:rsidR="001C461B" w:rsidRPr="00350F72" w:rsidRDefault="001C461B" w:rsidP="005835D5">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-13%</w:t>
            </w:r>
          </w:p>
        </w:tc>
        <w:tc>
          <w:tcPr>
            <w:tcW w:w="1252" w:type="dxa"/>
            <w:tcBorders>
              <w:top w:val="single" w:sz="18" w:space="0" w:color="auto"/>
              <w:bottom w:val="single" w:sz="4" w:space="0" w:color="auto"/>
              <w:right w:val="single" w:sz="18" w:space="0" w:color="auto"/>
            </w:tcBorders>
            <w:shd w:val="clear" w:color="auto" w:fill="auto"/>
            <w:noWrap/>
            <w:vAlign w:val="bottom"/>
          </w:tcPr>
          <w:p w14:paraId="30657458" w14:textId="01C460EF" w:rsidR="001C461B" w:rsidRPr="00350F72" w:rsidRDefault="001C461B" w:rsidP="005835D5">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-79%</w:t>
            </w:r>
          </w:p>
        </w:tc>
        <w:tc>
          <w:tcPr>
            <w:tcW w:w="1353" w:type="dxa"/>
            <w:tcBorders>
              <w:top w:val="single" w:sz="18" w:space="0" w:color="auto"/>
              <w:left w:val="single" w:sz="18" w:space="0" w:color="auto"/>
              <w:bottom w:val="single" w:sz="4" w:space="0" w:color="auto"/>
              <w:right w:val="nil"/>
            </w:tcBorders>
            <w:shd w:val="clear" w:color="auto" w:fill="FFFFFF" w:themeFill="background1"/>
            <w:noWrap/>
            <w:vAlign w:val="bottom"/>
          </w:tcPr>
          <w:p w14:paraId="3F2D318E" w14:textId="73619B90" w:rsidR="001C461B" w:rsidRPr="00350F72" w:rsidRDefault="001C461B" w:rsidP="005835D5">
            <w:pPr>
              <w:keepNext/>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-20%</w:t>
            </w:r>
          </w:p>
        </w:tc>
      </w:tr>
    </w:tbl>
    <w:p w14:paraId="5DCAEB3E" w14:textId="623F0FC2" w:rsidR="008161AA" w:rsidRDefault="008161AA" w:rsidP="008161AA"/>
    <w:p w14:paraId="46D6BC6D" w14:textId="3DEBC2A1" w:rsidR="008161AA" w:rsidRDefault="00350F72" w:rsidP="008161AA">
      <w:pPr>
        <w:pStyle w:val="Caption"/>
        <w:keepNext/>
      </w:pPr>
      <w:bookmarkStart w:id="20" w:name="_Ref41420235"/>
      <w:r>
        <w:t>F</w:t>
      </w:r>
      <w:r w:rsidR="008161AA">
        <w:t xml:space="preserve">igure </w:t>
      </w:r>
      <w:fldSimple w:instr=" SEQ Figure \* ARABIC ">
        <w:r w:rsidR="00CC108E">
          <w:rPr>
            <w:noProof/>
          </w:rPr>
          <w:t>6</w:t>
        </w:r>
      </w:fldSimple>
      <w:bookmarkEnd w:id="20"/>
      <w:r w:rsidR="008161AA">
        <w:t>: Number of gastrointestinal endoscopy procedures by month and year, for the total population (left) and for Māori (right)</w:t>
      </w:r>
    </w:p>
    <w:p w14:paraId="692A5EF9" w14:textId="791D0F35" w:rsidR="004A210E" w:rsidRPr="004A210E" w:rsidRDefault="00DE0774" w:rsidP="004A210E">
      <w:r>
        <w:rPr>
          <w:noProof/>
        </w:rPr>
        <w:drawing>
          <wp:inline distT="0" distB="0" distL="0" distR="0" wp14:anchorId="56B56C99" wp14:editId="2BD6C0D1">
            <wp:extent cx="3068955" cy="3333750"/>
            <wp:effectExtent l="0" t="0" r="17145" b="0"/>
            <wp:docPr id="29" name="Chart 29">
              <a:extLst xmlns:a="http://schemas.openxmlformats.org/drawingml/2006/main">
                <a:ext uri="{FF2B5EF4-FFF2-40B4-BE49-F238E27FC236}">
                  <a16:creationId xmlns:a16="http://schemas.microsoft.com/office/drawing/2014/main" id="{40F57607-E79E-4C0F-A526-F55B98CA74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rPr>
        <w:drawing>
          <wp:inline distT="0" distB="0" distL="0" distR="0" wp14:anchorId="6ADD4F19" wp14:editId="0204BD93">
            <wp:extent cx="3068955" cy="3333750"/>
            <wp:effectExtent l="0" t="0" r="17145" b="0"/>
            <wp:docPr id="60" name="Chart 60">
              <a:extLst xmlns:a="http://schemas.openxmlformats.org/drawingml/2006/main">
                <a:ext uri="{FF2B5EF4-FFF2-40B4-BE49-F238E27FC236}">
                  <a16:creationId xmlns:a16="http://schemas.microsoft.com/office/drawing/2014/main" id="{3C69CF04-A811-46F2-A448-3462F2FA55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27B5238" w14:textId="28AABFFD" w:rsidR="008161AA" w:rsidRDefault="008161AA" w:rsidP="008161AA">
      <w:pPr>
        <w:pStyle w:val="Caption"/>
        <w:keepNext/>
      </w:pPr>
      <w:r>
        <w:lastRenderedPageBreak/>
        <w:t xml:space="preserve">Figure </w:t>
      </w:r>
      <w:fldSimple w:instr=" SEQ Figure \* ARABIC ">
        <w:r w:rsidR="00CC108E">
          <w:rPr>
            <w:noProof/>
          </w:rPr>
          <w:t>7</w:t>
        </w:r>
      </w:fldSimple>
      <w:r>
        <w:t>: Cumulative number of gastrointestinal endoscopy procedures by year, for the total population (left) and for Māori (right)</w:t>
      </w:r>
    </w:p>
    <w:p w14:paraId="198A66A1" w14:textId="5F0846A0" w:rsidR="004A210E" w:rsidRPr="004A210E" w:rsidRDefault="00DE0774" w:rsidP="004A210E">
      <w:r>
        <w:rPr>
          <w:noProof/>
        </w:rPr>
        <w:drawing>
          <wp:inline distT="0" distB="0" distL="0" distR="0" wp14:anchorId="357F9774" wp14:editId="1CD60041">
            <wp:extent cx="3084830" cy="2355011"/>
            <wp:effectExtent l="0" t="0" r="1270" b="7620"/>
            <wp:docPr id="1" name="Chart 1">
              <a:extLst xmlns:a="http://schemas.openxmlformats.org/drawingml/2006/main">
                <a:ext uri="{FF2B5EF4-FFF2-40B4-BE49-F238E27FC236}">
                  <a16:creationId xmlns:a16="http://schemas.microsoft.com/office/drawing/2014/main" id="{3DD7F841-44BF-461F-88C4-A18C39E4FC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rPr>
        <w:drawing>
          <wp:inline distT="0" distB="0" distL="0" distR="0" wp14:anchorId="5B8A415D" wp14:editId="0C90749A">
            <wp:extent cx="3084830" cy="2372264"/>
            <wp:effectExtent l="0" t="0" r="1270" b="9525"/>
            <wp:docPr id="61" name="Chart 61">
              <a:extLst xmlns:a="http://schemas.openxmlformats.org/drawingml/2006/main">
                <a:ext uri="{FF2B5EF4-FFF2-40B4-BE49-F238E27FC236}">
                  <a16:creationId xmlns:a16="http://schemas.microsoft.com/office/drawing/2014/main" id="{4A26C47F-0DE6-4613-BA8A-80E44EEFA9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00E648D" w14:textId="77777777" w:rsidR="0076192F" w:rsidRDefault="0076192F" w:rsidP="0076192F">
      <w:pPr>
        <w:pStyle w:val="Heading2"/>
      </w:pPr>
      <w:r>
        <w:t>Key points</w:t>
      </w:r>
    </w:p>
    <w:p w14:paraId="183DFB13" w14:textId="77777777" w:rsidR="002838D3" w:rsidRDefault="0076192F" w:rsidP="0076192F">
      <w:pPr>
        <w:pStyle w:val="ListParagraph"/>
        <w:numPr>
          <w:ilvl w:val="0"/>
          <w:numId w:val="2"/>
        </w:numPr>
      </w:pPr>
      <w:r>
        <w:t xml:space="preserve">There was a substantial decrease in gastrointestinal endoscopy services at the end of March and through April, aligning with the COVID-19 lockdown. </w:t>
      </w:r>
    </w:p>
    <w:p w14:paraId="63344638" w14:textId="4A441BDC" w:rsidR="0076192F" w:rsidRDefault="002838D3" w:rsidP="0076192F">
      <w:pPr>
        <w:pStyle w:val="ListParagraph"/>
        <w:numPr>
          <w:ilvl w:val="0"/>
          <w:numId w:val="2"/>
        </w:numPr>
      </w:pPr>
      <w:r>
        <w:t xml:space="preserve">The decrease in endoscopies </w:t>
      </w:r>
      <w:r w:rsidR="00AE6D1B">
        <w:t>is consistent with the decrease in colorectal cancer registrations (</w:t>
      </w:r>
      <w:r w:rsidR="008161AA">
        <w:t xml:space="preserve">see </w:t>
      </w:r>
      <w:r w:rsidR="008161AA">
        <w:fldChar w:fldCharType="begin"/>
      </w:r>
      <w:r w:rsidR="008161AA">
        <w:instrText xml:space="preserve"> REF _Ref41411881 \h </w:instrText>
      </w:r>
      <w:r w:rsidR="008161AA">
        <w:fldChar w:fldCharType="separate"/>
      </w:r>
      <w:r w:rsidR="00CC108E">
        <w:t xml:space="preserve">Figure </w:t>
      </w:r>
      <w:r w:rsidR="00CC108E">
        <w:rPr>
          <w:noProof/>
        </w:rPr>
        <w:t>4</w:t>
      </w:r>
      <w:r w:rsidR="008161AA">
        <w:fldChar w:fldCharType="end"/>
      </w:r>
      <w:r w:rsidR="008161AA">
        <w:t xml:space="preserve"> and </w:t>
      </w:r>
      <w:r w:rsidR="008161AA">
        <w:fldChar w:fldCharType="begin"/>
      </w:r>
      <w:r w:rsidR="008161AA">
        <w:instrText xml:space="preserve"> REF _Ref41253294 \h </w:instrText>
      </w:r>
      <w:r w:rsidR="008161AA">
        <w:fldChar w:fldCharType="separate"/>
      </w:r>
      <w:r w:rsidR="00CC108E">
        <w:t xml:space="preserve">Figure </w:t>
      </w:r>
      <w:r w:rsidR="00CC108E">
        <w:rPr>
          <w:noProof/>
        </w:rPr>
        <w:t>5</w:t>
      </w:r>
      <w:r w:rsidR="008161AA">
        <w:fldChar w:fldCharType="end"/>
      </w:r>
      <w:r w:rsidR="00AE6D1B">
        <w:t xml:space="preserve">). </w:t>
      </w:r>
    </w:p>
    <w:p w14:paraId="6776B9BE" w14:textId="2A50E5CB" w:rsidR="0076192F" w:rsidRDefault="0076192F" w:rsidP="0076192F">
      <w:pPr>
        <w:pStyle w:val="ListParagraph"/>
        <w:numPr>
          <w:ilvl w:val="0"/>
          <w:numId w:val="2"/>
        </w:numPr>
      </w:pPr>
      <w:r>
        <w:t xml:space="preserve">Nationwide there were 79% fewer gastrointestinal endoscopies </w:t>
      </w:r>
      <w:r w:rsidR="0042409E">
        <w:t>performed</w:t>
      </w:r>
      <w:r>
        <w:t xml:space="preserve"> in April 2020 compared to April 2019. Overall, during the first four months of 2020 there has been a 20% decrease in gastrointestinal endoscopies. </w:t>
      </w:r>
    </w:p>
    <w:p w14:paraId="50C0A156" w14:textId="0F00177F" w:rsidR="0076192F" w:rsidRDefault="0076192F" w:rsidP="0076192F">
      <w:pPr>
        <w:pStyle w:val="ListParagraph"/>
        <w:numPr>
          <w:ilvl w:val="0"/>
          <w:numId w:val="2"/>
        </w:numPr>
      </w:pPr>
      <w:r>
        <w:t xml:space="preserve">Māori were not disproportionately impacted by changes to endoscopy (a 13% decrease for Māori compared to a 21% decrease for non-Māori/Non-Pacific). </w:t>
      </w:r>
    </w:p>
    <w:p w14:paraId="367D2DE0" w14:textId="2D63D362" w:rsidR="00362946" w:rsidRDefault="00362946" w:rsidP="002A3BC8">
      <w:pPr>
        <w:pStyle w:val="Heading1"/>
      </w:pPr>
      <w:bookmarkStart w:id="21" w:name="_Toc41410744"/>
      <w:bookmarkStart w:id="22" w:name="_Toc41474441"/>
      <w:r>
        <w:t>Bronchoscopy</w:t>
      </w:r>
      <w:bookmarkEnd w:id="21"/>
      <w:bookmarkEnd w:id="22"/>
    </w:p>
    <w:p w14:paraId="7B55C748" w14:textId="77777777" w:rsidR="00362946" w:rsidRDefault="00362946" w:rsidP="00362946">
      <w:pPr>
        <w:pStyle w:val="Heading2"/>
      </w:pPr>
      <w:r>
        <w:t>Notes on data</w:t>
      </w:r>
    </w:p>
    <w:p w14:paraId="7576DFAA" w14:textId="1D41FC5E" w:rsidR="00336834" w:rsidRDefault="003C6545" w:rsidP="00336834">
      <w:pPr>
        <w:pStyle w:val="ListParagraph"/>
        <w:numPr>
          <w:ilvl w:val="0"/>
          <w:numId w:val="11"/>
        </w:numPr>
      </w:pPr>
      <w:r>
        <w:t xml:space="preserve">Bronchoscopy data </w:t>
      </w:r>
      <w:r w:rsidR="000813A1">
        <w:t xml:space="preserve">were </w:t>
      </w:r>
      <w:r w:rsidR="00336834">
        <w:t>extracted from National Non-admitted Patient Collection</w:t>
      </w:r>
      <w:r w:rsidR="0037552A">
        <w:t xml:space="preserve"> (outpatient)</w:t>
      </w:r>
      <w:r w:rsidR="00336834">
        <w:t xml:space="preserve"> and National Minimum Dataset </w:t>
      </w:r>
      <w:r w:rsidR="0037552A">
        <w:t xml:space="preserve">(inpatient) </w:t>
      </w:r>
      <w:r w:rsidR="00336834">
        <w:t>on the 21</w:t>
      </w:r>
      <w:r w:rsidR="00336834" w:rsidRPr="00336834">
        <w:rPr>
          <w:vertAlign w:val="superscript"/>
        </w:rPr>
        <w:t>st</w:t>
      </w:r>
      <w:r w:rsidR="00336834">
        <w:t xml:space="preserve"> May 2020. </w:t>
      </w:r>
    </w:p>
    <w:p w14:paraId="7DEE7DB7" w14:textId="20914812" w:rsidR="0037552A" w:rsidRDefault="0037552A" w:rsidP="00336834">
      <w:pPr>
        <w:pStyle w:val="ListParagraph"/>
        <w:numPr>
          <w:ilvl w:val="0"/>
          <w:numId w:val="11"/>
        </w:numPr>
      </w:pPr>
      <w:r>
        <w:t>Includes bronchoscopies for any indication (</w:t>
      </w:r>
      <w:r w:rsidR="0055119B">
        <w:t>i.e.</w:t>
      </w:r>
      <w:r>
        <w:t xml:space="preserve"> not just cancer)</w:t>
      </w:r>
      <w:r w:rsidR="0055119B">
        <w:t>.</w:t>
      </w:r>
    </w:p>
    <w:p w14:paraId="022F765E" w14:textId="008694D6" w:rsidR="00CA6B5F" w:rsidRDefault="00336834" w:rsidP="00336834">
      <w:pPr>
        <w:pStyle w:val="ListParagraph"/>
        <w:numPr>
          <w:ilvl w:val="0"/>
          <w:numId w:val="11"/>
        </w:numPr>
      </w:pPr>
      <w:r>
        <w:t xml:space="preserve">Technical information: </w:t>
      </w:r>
      <w:r w:rsidR="00D104EA" w:rsidRPr="00336834">
        <w:t>Bronchoscopies</w:t>
      </w:r>
      <w:r w:rsidRPr="00336834">
        <w:t xml:space="preserve"> (Purchase Unit Code - MS02003)</w:t>
      </w:r>
      <w:r w:rsidR="0055119B">
        <w:t>.</w:t>
      </w:r>
    </w:p>
    <w:p w14:paraId="1F582CA7" w14:textId="5DA7E5C6" w:rsidR="002D4D6B" w:rsidRDefault="002D4D6B" w:rsidP="002D4D6B">
      <w:pPr>
        <w:pStyle w:val="Heading2"/>
      </w:pPr>
      <w:r>
        <w:t>Results</w:t>
      </w:r>
    </w:p>
    <w:p w14:paraId="0D26D32C" w14:textId="173754EE" w:rsidR="000B6A93" w:rsidRDefault="0042409E" w:rsidP="000B6A93">
      <w:r>
        <w:t xml:space="preserve">There has been a reduction in the number of </w:t>
      </w:r>
      <w:r w:rsidR="00C117E9">
        <w:t>bronchoscopies</w:t>
      </w:r>
      <w:r>
        <w:t xml:space="preserve"> performed every month of 2020 compared to 2019 (</w:t>
      </w:r>
      <w:r w:rsidR="00A61C54">
        <w:fldChar w:fldCharType="begin"/>
      </w:r>
      <w:r w:rsidR="00A61C54">
        <w:instrText xml:space="preserve"> REF _Ref41475801 \h </w:instrText>
      </w:r>
      <w:r w:rsidR="00A61C54">
        <w:fldChar w:fldCharType="separate"/>
      </w:r>
      <w:r w:rsidR="00CC108E">
        <w:t xml:space="preserve">Table </w:t>
      </w:r>
      <w:r w:rsidR="00CC108E">
        <w:rPr>
          <w:noProof/>
        </w:rPr>
        <w:t>5</w:t>
      </w:r>
      <w:r w:rsidR="00A61C54">
        <w:fldChar w:fldCharType="end"/>
      </w:r>
      <w:r>
        <w:t xml:space="preserve">). However, </w:t>
      </w:r>
      <w:r w:rsidR="00C117E9">
        <w:t xml:space="preserve">this is most significant </w:t>
      </w:r>
      <w:r>
        <w:t>in April 2020 compared to April 2019 (</w:t>
      </w:r>
      <w:r w:rsidR="00C117E9">
        <w:fldChar w:fldCharType="begin"/>
      </w:r>
      <w:r w:rsidR="00C117E9">
        <w:instrText xml:space="preserve"> REF _Ref41420630 \h </w:instrText>
      </w:r>
      <w:r w:rsidR="00C117E9">
        <w:fldChar w:fldCharType="separate"/>
      </w:r>
      <w:r w:rsidR="00CC108E">
        <w:t xml:space="preserve">Figure </w:t>
      </w:r>
      <w:r w:rsidR="00CC108E">
        <w:rPr>
          <w:noProof/>
        </w:rPr>
        <w:t>8</w:t>
      </w:r>
      <w:r w:rsidR="00C117E9">
        <w:fldChar w:fldCharType="end"/>
      </w:r>
      <w:r>
        <w:t xml:space="preserve">). </w:t>
      </w:r>
    </w:p>
    <w:p w14:paraId="6D742653" w14:textId="5893B3D7" w:rsidR="000E54AB" w:rsidRDefault="000E54AB" w:rsidP="000E54AB">
      <w:pPr>
        <w:pStyle w:val="Caption"/>
        <w:keepNext/>
      </w:pPr>
      <w:bookmarkStart w:id="23" w:name="_Ref41475801"/>
      <w:r>
        <w:t xml:space="preserve">Table </w:t>
      </w:r>
      <w:fldSimple w:instr=" SEQ Table \* ARABIC ">
        <w:r w:rsidR="00CC108E">
          <w:rPr>
            <w:noProof/>
          </w:rPr>
          <w:t>5</w:t>
        </w:r>
      </w:fldSimple>
      <w:bookmarkEnd w:id="23"/>
      <w:r>
        <w:t xml:space="preserve">: </w:t>
      </w:r>
      <w:r w:rsidRPr="001B2E6C">
        <w:t xml:space="preserve">Percentage </w:t>
      </w:r>
      <w:r w:rsidR="004D5F4D">
        <w:t xml:space="preserve">change </w:t>
      </w:r>
      <w:r w:rsidR="00C117E9">
        <w:t>in bronchoscopies</w:t>
      </w:r>
      <w:r w:rsidRPr="001B2E6C">
        <w:t xml:space="preserve"> in 2020 compared to 2019 by month, and cumulative year to date</w:t>
      </w:r>
    </w:p>
    <w:tbl>
      <w:tblPr>
        <w:tblW w:w="8701" w:type="dxa"/>
        <w:jc w:val="center"/>
        <w:tblLook w:val="05A0" w:firstRow="1" w:lastRow="0" w:firstColumn="1" w:lastColumn="1" w:noHBand="0" w:noVBand="1"/>
      </w:tblPr>
      <w:tblGrid>
        <w:gridCol w:w="2552"/>
        <w:gridCol w:w="1134"/>
        <w:gridCol w:w="1134"/>
        <w:gridCol w:w="1276"/>
        <w:gridCol w:w="1252"/>
        <w:gridCol w:w="1353"/>
      </w:tblGrid>
      <w:tr w:rsidR="002F702B" w:rsidRPr="0017725A" w14:paraId="3507683F" w14:textId="77777777" w:rsidTr="000E54AB">
        <w:trPr>
          <w:trHeight w:val="205"/>
          <w:jc w:val="center"/>
        </w:trPr>
        <w:tc>
          <w:tcPr>
            <w:tcW w:w="2552" w:type="dxa"/>
            <w:tcBorders>
              <w:top w:val="nil"/>
              <w:left w:val="nil"/>
              <w:bottom w:val="single" w:sz="4" w:space="0" w:color="auto"/>
              <w:right w:val="single" w:sz="4" w:space="0" w:color="auto"/>
            </w:tcBorders>
            <w:shd w:val="clear" w:color="auto" w:fill="auto"/>
            <w:noWrap/>
            <w:vAlign w:val="bottom"/>
            <w:hideMark/>
          </w:tcPr>
          <w:p w14:paraId="168CAAC6" w14:textId="77777777" w:rsidR="002F702B" w:rsidRPr="000E54AB" w:rsidRDefault="002F702B" w:rsidP="000E54AB">
            <w:pPr>
              <w:spacing w:after="0" w:line="240" w:lineRule="auto"/>
              <w:rPr>
                <w:rFonts w:ascii="Times New Roman" w:eastAsia="Times New Roman" w:hAnsi="Times New Roman" w:cs="Times New Roman"/>
                <w:sz w:val="20"/>
                <w:szCs w:val="24"/>
                <w:lang w:eastAsia="en-NZ"/>
              </w:rPr>
            </w:pPr>
          </w:p>
        </w:tc>
        <w:tc>
          <w:tcPr>
            <w:tcW w:w="1134" w:type="dxa"/>
            <w:tcBorders>
              <w:left w:val="single" w:sz="4" w:space="0" w:color="auto"/>
              <w:bottom w:val="single" w:sz="4" w:space="0" w:color="auto"/>
            </w:tcBorders>
            <w:shd w:val="clear" w:color="auto" w:fill="auto"/>
            <w:noWrap/>
            <w:vAlign w:val="bottom"/>
            <w:hideMark/>
          </w:tcPr>
          <w:p w14:paraId="2D801D70" w14:textId="77777777" w:rsidR="002F702B" w:rsidRPr="000E54AB" w:rsidRDefault="002F702B" w:rsidP="000E54AB">
            <w:pPr>
              <w:spacing w:after="0" w:line="240" w:lineRule="auto"/>
              <w:jc w:val="center"/>
              <w:rPr>
                <w:rFonts w:ascii="Calibri" w:eastAsia="Times New Roman" w:hAnsi="Calibri" w:cs="Times New Roman"/>
                <w:color w:val="000000"/>
                <w:sz w:val="20"/>
                <w:lang w:eastAsia="en-NZ"/>
              </w:rPr>
            </w:pPr>
            <w:r w:rsidRPr="000E54AB">
              <w:rPr>
                <w:rFonts w:ascii="Calibri" w:eastAsia="Times New Roman" w:hAnsi="Calibri" w:cs="Times New Roman"/>
                <w:color w:val="000000"/>
                <w:sz w:val="20"/>
                <w:lang w:eastAsia="en-NZ"/>
              </w:rPr>
              <w:t>Jan</w:t>
            </w:r>
          </w:p>
        </w:tc>
        <w:tc>
          <w:tcPr>
            <w:tcW w:w="1134" w:type="dxa"/>
            <w:tcBorders>
              <w:bottom w:val="single" w:sz="4" w:space="0" w:color="auto"/>
            </w:tcBorders>
            <w:shd w:val="clear" w:color="auto" w:fill="auto"/>
            <w:noWrap/>
            <w:vAlign w:val="bottom"/>
            <w:hideMark/>
          </w:tcPr>
          <w:p w14:paraId="26F60B4F" w14:textId="77777777" w:rsidR="002F702B" w:rsidRPr="000E54AB" w:rsidRDefault="002F702B" w:rsidP="000E54AB">
            <w:pPr>
              <w:spacing w:after="0" w:line="240" w:lineRule="auto"/>
              <w:jc w:val="center"/>
              <w:rPr>
                <w:rFonts w:ascii="Calibri" w:eastAsia="Times New Roman" w:hAnsi="Calibri" w:cs="Times New Roman"/>
                <w:color w:val="000000"/>
                <w:sz w:val="20"/>
                <w:lang w:eastAsia="en-NZ"/>
              </w:rPr>
            </w:pPr>
            <w:r w:rsidRPr="000E54AB">
              <w:rPr>
                <w:rFonts w:ascii="Calibri" w:eastAsia="Times New Roman" w:hAnsi="Calibri" w:cs="Times New Roman"/>
                <w:color w:val="000000"/>
                <w:sz w:val="20"/>
                <w:lang w:eastAsia="en-NZ"/>
              </w:rPr>
              <w:t>Feb</w:t>
            </w:r>
          </w:p>
        </w:tc>
        <w:tc>
          <w:tcPr>
            <w:tcW w:w="1276" w:type="dxa"/>
            <w:tcBorders>
              <w:bottom w:val="single" w:sz="4" w:space="0" w:color="auto"/>
            </w:tcBorders>
            <w:shd w:val="clear" w:color="auto" w:fill="auto"/>
            <w:noWrap/>
            <w:vAlign w:val="bottom"/>
            <w:hideMark/>
          </w:tcPr>
          <w:p w14:paraId="481CA353" w14:textId="77777777" w:rsidR="002F702B" w:rsidRPr="000E54AB" w:rsidRDefault="002F702B" w:rsidP="000E54AB">
            <w:pPr>
              <w:spacing w:after="0" w:line="240" w:lineRule="auto"/>
              <w:jc w:val="center"/>
              <w:rPr>
                <w:rFonts w:ascii="Calibri" w:eastAsia="Times New Roman" w:hAnsi="Calibri" w:cs="Times New Roman"/>
                <w:color w:val="000000"/>
                <w:sz w:val="20"/>
                <w:lang w:eastAsia="en-NZ"/>
              </w:rPr>
            </w:pPr>
            <w:r w:rsidRPr="000E54AB">
              <w:rPr>
                <w:rFonts w:ascii="Calibri" w:eastAsia="Times New Roman" w:hAnsi="Calibri" w:cs="Times New Roman"/>
                <w:color w:val="000000"/>
                <w:sz w:val="20"/>
                <w:lang w:eastAsia="en-NZ"/>
              </w:rPr>
              <w:t>March</w:t>
            </w:r>
          </w:p>
        </w:tc>
        <w:tc>
          <w:tcPr>
            <w:tcW w:w="1252" w:type="dxa"/>
            <w:tcBorders>
              <w:bottom w:val="single" w:sz="4" w:space="0" w:color="auto"/>
              <w:right w:val="single" w:sz="18" w:space="0" w:color="auto"/>
            </w:tcBorders>
            <w:shd w:val="clear" w:color="auto" w:fill="auto"/>
            <w:noWrap/>
            <w:vAlign w:val="bottom"/>
            <w:hideMark/>
          </w:tcPr>
          <w:p w14:paraId="0DB287E3" w14:textId="77777777" w:rsidR="002F702B" w:rsidRPr="000E54AB" w:rsidRDefault="002F702B" w:rsidP="000E54AB">
            <w:pPr>
              <w:spacing w:after="0" w:line="240" w:lineRule="auto"/>
              <w:jc w:val="center"/>
              <w:rPr>
                <w:rFonts w:ascii="Calibri" w:eastAsia="Times New Roman" w:hAnsi="Calibri" w:cs="Times New Roman"/>
                <w:color w:val="000000"/>
                <w:sz w:val="20"/>
                <w:lang w:eastAsia="en-NZ"/>
              </w:rPr>
            </w:pPr>
            <w:r w:rsidRPr="000E54AB">
              <w:rPr>
                <w:rFonts w:ascii="Calibri" w:eastAsia="Times New Roman" w:hAnsi="Calibri" w:cs="Times New Roman"/>
                <w:color w:val="000000"/>
                <w:sz w:val="20"/>
                <w:lang w:eastAsia="en-NZ"/>
              </w:rPr>
              <w:t>April</w:t>
            </w:r>
          </w:p>
        </w:tc>
        <w:tc>
          <w:tcPr>
            <w:tcW w:w="1353" w:type="dxa"/>
            <w:tcBorders>
              <w:top w:val="nil"/>
              <w:left w:val="single" w:sz="18" w:space="0" w:color="auto"/>
              <w:bottom w:val="single" w:sz="4" w:space="0" w:color="auto"/>
              <w:right w:val="nil"/>
            </w:tcBorders>
            <w:shd w:val="clear" w:color="auto" w:fill="FFFFFF" w:themeFill="background1"/>
            <w:noWrap/>
            <w:vAlign w:val="bottom"/>
            <w:hideMark/>
          </w:tcPr>
          <w:p w14:paraId="1513D60D" w14:textId="77777777" w:rsidR="002F702B" w:rsidRPr="000E54AB" w:rsidRDefault="002F702B" w:rsidP="000E54AB">
            <w:pPr>
              <w:spacing w:after="0" w:line="240" w:lineRule="auto"/>
              <w:jc w:val="center"/>
              <w:rPr>
                <w:rFonts w:ascii="Calibri" w:eastAsia="Times New Roman" w:hAnsi="Calibri" w:cs="Times New Roman"/>
                <w:color w:val="000000"/>
                <w:sz w:val="20"/>
                <w:lang w:eastAsia="en-NZ"/>
              </w:rPr>
            </w:pPr>
            <w:r w:rsidRPr="000E54AB">
              <w:rPr>
                <w:rFonts w:ascii="Calibri" w:eastAsia="Times New Roman" w:hAnsi="Calibri" w:cs="Times New Roman"/>
                <w:color w:val="000000"/>
                <w:sz w:val="20"/>
                <w:lang w:eastAsia="en-NZ"/>
              </w:rPr>
              <w:t>YTD</w:t>
            </w:r>
          </w:p>
        </w:tc>
      </w:tr>
      <w:tr w:rsidR="000E54AB" w:rsidRPr="0017725A" w14:paraId="1F32C403" w14:textId="77777777" w:rsidTr="000E54AB">
        <w:trPr>
          <w:trHeight w:val="205"/>
          <w:jc w:val="center"/>
        </w:trPr>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78370336" w14:textId="77777777" w:rsidR="000E54AB" w:rsidRPr="000E54AB" w:rsidRDefault="000E54AB" w:rsidP="000E54AB">
            <w:pPr>
              <w:spacing w:after="0" w:line="240" w:lineRule="auto"/>
              <w:jc w:val="right"/>
              <w:rPr>
                <w:rFonts w:ascii="Calibri" w:eastAsia="Times New Roman" w:hAnsi="Calibri" w:cs="Times New Roman"/>
                <w:color w:val="000000"/>
                <w:sz w:val="20"/>
                <w:lang w:eastAsia="en-NZ"/>
              </w:rPr>
            </w:pPr>
            <w:r w:rsidRPr="000E54AB">
              <w:rPr>
                <w:rFonts w:ascii="Calibri" w:eastAsia="Times New Roman" w:hAnsi="Calibri" w:cs="Times New Roman"/>
                <w:color w:val="000000"/>
                <w:sz w:val="20"/>
                <w:lang w:eastAsia="en-NZ"/>
              </w:rPr>
              <w:t>Māori</w:t>
            </w:r>
          </w:p>
        </w:tc>
        <w:tc>
          <w:tcPr>
            <w:tcW w:w="1134" w:type="dxa"/>
            <w:tcBorders>
              <w:top w:val="single" w:sz="4" w:space="0" w:color="auto"/>
              <w:left w:val="single" w:sz="8" w:space="0" w:color="auto"/>
              <w:bottom w:val="single" w:sz="4" w:space="0" w:color="auto"/>
              <w:right w:val="single" w:sz="8" w:space="0" w:color="auto"/>
            </w:tcBorders>
            <w:shd w:val="clear" w:color="auto" w:fill="auto"/>
            <w:noWrap/>
            <w:vAlign w:val="bottom"/>
          </w:tcPr>
          <w:p w14:paraId="71833603" w14:textId="5ABDF61D" w:rsidR="000E54AB" w:rsidRPr="000E54AB" w:rsidRDefault="000E54AB" w:rsidP="000E54AB">
            <w:pPr>
              <w:spacing w:after="0" w:line="240" w:lineRule="auto"/>
              <w:jc w:val="center"/>
              <w:rPr>
                <w:rFonts w:ascii="Calibri" w:eastAsia="Times New Roman" w:hAnsi="Calibri" w:cs="Times New Roman"/>
                <w:color w:val="000000"/>
                <w:sz w:val="20"/>
                <w:lang w:eastAsia="en-NZ"/>
              </w:rPr>
            </w:pPr>
            <w:r w:rsidRPr="000E54AB">
              <w:rPr>
                <w:rFonts w:ascii="Calibri" w:hAnsi="Calibri"/>
                <w:bCs/>
                <w:color w:val="000000"/>
                <w:sz w:val="20"/>
              </w:rPr>
              <w:t>-13%</w:t>
            </w:r>
          </w:p>
        </w:tc>
        <w:tc>
          <w:tcPr>
            <w:tcW w:w="1134" w:type="dxa"/>
            <w:tcBorders>
              <w:top w:val="single" w:sz="4" w:space="0" w:color="auto"/>
              <w:left w:val="nil"/>
              <w:bottom w:val="single" w:sz="4" w:space="0" w:color="auto"/>
              <w:right w:val="single" w:sz="8" w:space="0" w:color="auto"/>
            </w:tcBorders>
            <w:shd w:val="clear" w:color="auto" w:fill="auto"/>
            <w:noWrap/>
            <w:vAlign w:val="bottom"/>
          </w:tcPr>
          <w:p w14:paraId="51BBF39F" w14:textId="4497A0B5" w:rsidR="000E54AB" w:rsidRPr="000E54AB" w:rsidRDefault="000E54AB" w:rsidP="000E54AB">
            <w:pPr>
              <w:spacing w:after="0" w:line="240" w:lineRule="auto"/>
              <w:jc w:val="center"/>
              <w:rPr>
                <w:rFonts w:ascii="Calibri" w:eastAsia="Times New Roman" w:hAnsi="Calibri" w:cs="Times New Roman"/>
                <w:color w:val="000000"/>
                <w:sz w:val="20"/>
                <w:lang w:eastAsia="en-NZ"/>
              </w:rPr>
            </w:pPr>
            <w:r w:rsidRPr="000E54AB">
              <w:rPr>
                <w:rFonts w:ascii="Calibri" w:hAnsi="Calibri"/>
                <w:bCs/>
                <w:color w:val="000000"/>
                <w:sz w:val="20"/>
              </w:rPr>
              <w:t>-22%</w:t>
            </w:r>
          </w:p>
        </w:tc>
        <w:tc>
          <w:tcPr>
            <w:tcW w:w="1276" w:type="dxa"/>
            <w:tcBorders>
              <w:top w:val="single" w:sz="4" w:space="0" w:color="auto"/>
              <w:left w:val="nil"/>
              <w:bottom w:val="single" w:sz="4" w:space="0" w:color="auto"/>
              <w:right w:val="single" w:sz="8" w:space="0" w:color="auto"/>
            </w:tcBorders>
            <w:shd w:val="clear" w:color="auto" w:fill="auto"/>
            <w:noWrap/>
            <w:vAlign w:val="bottom"/>
          </w:tcPr>
          <w:p w14:paraId="327DEF35" w14:textId="07FD285C" w:rsidR="000E54AB" w:rsidRPr="000E54AB" w:rsidRDefault="000E54AB" w:rsidP="000E54AB">
            <w:pPr>
              <w:spacing w:after="0" w:line="240" w:lineRule="auto"/>
              <w:jc w:val="center"/>
              <w:rPr>
                <w:rFonts w:ascii="Calibri" w:eastAsia="Times New Roman" w:hAnsi="Calibri" w:cs="Times New Roman"/>
                <w:color w:val="000000"/>
                <w:sz w:val="20"/>
                <w:lang w:eastAsia="en-NZ"/>
              </w:rPr>
            </w:pPr>
            <w:r w:rsidRPr="000E54AB">
              <w:rPr>
                <w:rFonts w:ascii="Calibri" w:hAnsi="Calibri"/>
                <w:bCs/>
                <w:color w:val="000000"/>
                <w:sz w:val="20"/>
              </w:rPr>
              <w:t>-32%</w:t>
            </w:r>
          </w:p>
        </w:tc>
        <w:tc>
          <w:tcPr>
            <w:tcW w:w="1252" w:type="dxa"/>
            <w:tcBorders>
              <w:top w:val="single" w:sz="4" w:space="0" w:color="auto"/>
              <w:left w:val="nil"/>
              <w:bottom w:val="single" w:sz="4" w:space="0" w:color="auto"/>
              <w:right w:val="single" w:sz="8" w:space="0" w:color="auto"/>
            </w:tcBorders>
            <w:shd w:val="clear" w:color="auto" w:fill="auto"/>
            <w:noWrap/>
            <w:vAlign w:val="bottom"/>
          </w:tcPr>
          <w:p w14:paraId="244E92EE" w14:textId="1601F46B" w:rsidR="000E54AB" w:rsidRPr="000E54AB" w:rsidRDefault="000E54AB" w:rsidP="000E54AB">
            <w:pPr>
              <w:spacing w:after="0" w:line="240" w:lineRule="auto"/>
              <w:jc w:val="center"/>
              <w:rPr>
                <w:rFonts w:ascii="Calibri" w:eastAsia="Times New Roman" w:hAnsi="Calibri" w:cs="Times New Roman"/>
                <w:color w:val="000000"/>
                <w:sz w:val="20"/>
                <w:lang w:eastAsia="en-NZ"/>
              </w:rPr>
            </w:pPr>
            <w:r w:rsidRPr="000E54AB">
              <w:rPr>
                <w:rFonts w:ascii="Calibri" w:hAnsi="Calibri"/>
                <w:bCs/>
                <w:color w:val="000000"/>
                <w:sz w:val="20"/>
              </w:rPr>
              <w:t>-83%</w:t>
            </w:r>
          </w:p>
        </w:tc>
        <w:tc>
          <w:tcPr>
            <w:tcW w:w="1353" w:type="dxa"/>
            <w:tcBorders>
              <w:top w:val="single" w:sz="4" w:space="0" w:color="auto"/>
              <w:left w:val="single" w:sz="18" w:space="0" w:color="auto"/>
              <w:bottom w:val="single" w:sz="4" w:space="0" w:color="auto"/>
              <w:right w:val="nil"/>
            </w:tcBorders>
            <w:shd w:val="clear" w:color="auto" w:fill="FFFFFF" w:themeFill="background1"/>
            <w:noWrap/>
            <w:vAlign w:val="bottom"/>
          </w:tcPr>
          <w:p w14:paraId="756783A8" w14:textId="0F4C218F" w:rsidR="000E54AB" w:rsidRPr="000E54AB" w:rsidRDefault="000E54AB" w:rsidP="000E54AB">
            <w:pPr>
              <w:keepNext/>
              <w:spacing w:after="0" w:line="240" w:lineRule="auto"/>
              <w:jc w:val="center"/>
              <w:rPr>
                <w:rFonts w:ascii="Calibri" w:eastAsia="Times New Roman" w:hAnsi="Calibri" w:cs="Times New Roman"/>
                <w:color w:val="000000"/>
                <w:sz w:val="20"/>
                <w:lang w:eastAsia="en-NZ"/>
              </w:rPr>
            </w:pPr>
            <w:r w:rsidRPr="000E54AB">
              <w:rPr>
                <w:rFonts w:ascii="Calibri" w:eastAsia="Times New Roman" w:hAnsi="Calibri" w:cs="Times New Roman"/>
                <w:color w:val="000000"/>
                <w:sz w:val="20"/>
                <w:lang w:eastAsia="en-NZ"/>
              </w:rPr>
              <w:t>-35%</w:t>
            </w:r>
          </w:p>
        </w:tc>
      </w:tr>
      <w:tr w:rsidR="000E54AB" w:rsidRPr="0017725A" w14:paraId="79BB724B" w14:textId="77777777" w:rsidTr="000E54AB">
        <w:trPr>
          <w:trHeight w:val="205"/>
          <w:jc w:val="center"/>
        </w:trPr>
        <w:tc>
          <w:tcPr>
            <w:tcW w:w="2552" w:type="dxa"/>
            <w:tcBorders>
              <w:top w:val="single" w:sz="4" w:space="0" w:color="auto"/>
              <w:left w:val="nil"/>
              <w:bottom w:val="single" w:sz="18" w:space="0" w:color="auto"/>
              <w:right w:val="single" w:sz="4" w:space="0" w:color="auto"/>
            </w:tcBorders>
            <w:shd w:val="clear" w:color="auto" w:fill="auto"/>
            <w:noWrap/>
            <w:vAlign w:val="bottom"/>
          </w:tcPr>
          <w:p w14:paraId="799663DA" w14:textId="77777777" w:rsidR="000E54AB" w:rsidRPr="000E54AB" w:rsidRDefault="000E54AB" w:rsidP="000E54AB">
            <w:pPr>
              <w:spacing w:after="0" w:line="240" w:lineRule="auto"/>
              <w:jc w:val="right"/>
              <w:rPr>
                <w:rFonts w:ascii="Calibri" w:eastAsia="Times New Roman" w:hAnsi="Calibri" w:cs="Times New Roman"/>
                <w:color w:val="000000"/>
                <w:sz w:val="20"/>
                <w:lang w:eastAsia="en-NZ"/>
              </w:rPr>
            </w:pPr>
            <w:r w:rsidRPr="000E54AB">
              <w:rPr>
                <w:rFonts w:ascii="Calibri" w:eastAsia="Times New Roman" w:hAnsi="Calibri" w:cs="Times New Roman"/>
                <w:color w:val="000000"/>
                <w:sz w:val="20"/>
                <w:lang w:eastAsia="en-NZ"/>
              </w:rPr>
              <w:t>Non-Māori/Non-Pacific</w:t>
            </w:r>
          </w:p>
        </w:tc>
        <w:tc>
          <w:tcPr>
            <w:tcW w:w="1134" w:type="dxa"/>
            <w:tcBorders>
              <w:top w:val="single" w:sz="4" w:space="0" w:color="auto"/>
              <w:left w:val="nil"/>
              <w:bottom w:val="single" w:sz="18" w:space="0" w:color="auto"/>
              <w:right w:val="single" w:sz="4" w:space="0" w:color="auto"/>
            </w:tcBorders>
            <w:shd w:val="clear" w:color="auto" w:fill="auto"/>
            <w:noWrap/>
            <w:vAlign w:val="bottom"/>
          </w:tcPr>
          <w:p w14:paraId="1981AE50" w14:textId="1B652022" w:rsidR="000E54AB" w:rsidRPr="000E54AB" w:rsidRDefault="000E54AB" w:rsidP="000E54AB">
            <w:pPr>
              <w:spacing w:after="0" w:line="240" w:lineRule="auto"/>
              <w:jc w:val="center"/>
              <w:rPr>
                <w:rFonts w:ascii="Calibri" w:eastAsia="Times New Roman" w:hAnsi="Calibri" w:cs="Times New Roman"/>
                <w:color w:val="000000"/>
                <w:sz w:val="20"/>
                <w:lang w:eastAsia="en-NZ"/>
              </w:rPr>
            </w:pPr>
            <w:r w:rsidRPr="000E54AB">
              <w:rPr>
                <w:rFonts w:ascii="Calibri" w:hAnsi="Calibri"/>
                <w:color w:val="000000"/>
                <w:sz w:val="20"/>
              </w:rPr>
              <w:t>-12%</w:t>
            </w:r>
          </w:p>
        </w:tc>
        <w:tc>
          <w:tcPr>
            <w:tcW w:w="1134"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1F090051" w14:textId="118E79B1" w:rsidR="000E54AB" w:rsidRPr="000E54AB" w:rsidRDefault="000E54AB" w:rsidP="000E54AB">
            <w:pPr>
              <w:spacing w:after="0" w:line="240" w:lineRule="auto"/>
              <w:jc w:val="center"/>
              <w:rPr>
                <w:rFonts w:ascii="Calibri" w:eastAsia="Times New Roman" w:hAnsi="Calibri" w:cs="Times New Roman"/>
                <w:color w:val="000000"/>
                <w:sz w:val="20"/>
                <w:lang w:eastAsia="en-NZ"/>
              </w:rPr>
            </w:pPr>
            <w:r w:rsidRPr="000E54AB">
              <w:rPr>
                <w:rFonts w:ascii="Calibri" w:hAnsi="Calibri"/>
                <w:color w:val="000000"/>
                <w:sz w:val="20"/>
              </w:rPr>
              <w:t>-10%</w:t>
            </w:r>
          </w:p>
        </w:tc>
        <w:tc>
          <w:tcPr>
            <w:tcW w:w="1276"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375DE151" w14:textId="21DF3DC4" w:rsidR="000E54AB" w:rsidRPr="000E54AB" w:rsidRDefault="000E54AB" w:rsidP="000E54AB">
            <w:pPr>
              <w:spacing w:after="0" w:line="240" w:lineRule="auto"/>
              <w:jc w:val="center"/>
              <w:rPr>
                <w:rFonts w:ascii="Calibri" w:eastAsia="Times New Roman" w:hAnsi="Calibri" w:cs="Times New Roman"/>
                <w:color w:val="000000"/>
                <w:sz w:val="20"/>
                <w:lang w:eastAsia="en-NZ"/>
              </w:rPr>
            </w:pPr>
            <w:r w:rsidRPr="000E54AB">
              <w:rPr>
                <w:rFonts w:ascii="Calibri" w:hAnsi="Calibri"/>
                <w:color w:val="000000"/>
                <w:sz w:val="20"/>
              </w:rPr>
              <w:t>-3%</w:t>
            </w:r>
          </w:p>
        </w:tc>
        <w:tc>
          <w:tcPr>
            <w:tcW w:w="1252" w:type="dxa"/>
            <w:tcBorders>
              <w:top w:val="single" w:sz="4" w:space="0" w:color="auto"/>
              <w:left w:val="single" w:sz="4" w:space="0" w:color="auto"/>
              <w:bottom w:val="single" w:sz="18" w:space="0" w:color="auto"/>
              <w:right w:val="nil"/>
            </w:tcBorders>
            <w:shd w:val="clear" w:color="auto" w:fill="auto"/>
            <w:noWrap/>
            <w:vAlign w:val="bottom"/>
          </w:tcPr>
          <w:p w14:paraId="2799BB9E" w14:textId="0C51401A" w:rsidR="000E54AB" w:rsidRPr="000E54AB" w:rsidRDefault="000E54AB" w:rsidP="000E54AB">
            <w:pPr>
              <w:spacing w:after="0" w:line="240" w:lineRule="auto"/>
              <w:jc w:val="center"/>
              <w:rPr>
                <w:rFonts w:ascii="Calibri" w:eastAsia="Times New Roman" w:hAnsi="Calibri" w:cs="Times New Roman"/>
                <w:color w:val="000000"/>
                <w:sz w:val="20"/>
                <w:lang w:eastAsia="en-NZ"/>
              </w:rPr>
            </w:pPr>
            <w:r w:rsidRPr="000E54AB">
              <w:rPr>
                <w:rFonts w:ascii="Calibri" w:hAnsi="Calibri"/>
                <w:color w:val="000000"/>
                <w:sz w:val="20"/>
              </w:rPr>
              <w:t>-75%</w:t>
            </w:r>
          </w:p>
        </w:tc>
        <w:tc>
          <w:tcPr>
            <w:tcW w:w="1353" w:type="dxa"/>
            <w:tcBorders>
              <w:top w:val="single" w:sz="4" w:space="0" w:color="auto"/>
              <w:left w:val="single" w:sz="18" w:space="0" w:color="auto"/>
              <w:bottom w:val="single" w:sz="18" w:space="0" w:color="auto"/>
              <w:right w:val="nil"/>
            </w:tcBorders>
            <w:shd w:val="clear" w:color="auto" w:fill="FFFFFF" w:themeFill="background1"/>
            <w:noWrap/>
            <w:vAlign w:val="bottom"/>
          </w:tcPr>
          <w:p w14:paraId="4FBF520C" w14:textId="5FA2B537" w:rsidR="000E54AB" w:rsidRPr="000E54AB" w:rsidRDefault="000E54AB" w:rsidP="000E54AB">
            <w:pPr>
              <w:keepNext/>
              <w:spacing w:after="0" w:line="240" w:lineRule="auto"/>
              <w:jc w:val="center"/>
              <w:rPr>
                <w:rFonts w:ascii="Calibri" w:eastAsia="Times New Roman" w:hAnsi="Calibri" w:cs="Times New Roman"/>
                <w:color w:val="000000"/>
                <w:sz w:val="20"/>
                <w:lang w:eastAsia="en-NZ"/>
              </w:rPr>
            </w:pPr>
            <w:r w:rsidRPr="000E54AB">
              <w:rPr>
                <w:rFonts w:ascii="Calibri" w:eastAsia="Times New Roman" w:hAnsi="Calibri" w:cs="Times New Roman"/>
                <w:color w:val="000000"/>
                <w:sz w:val="20"/>
                <w:lang w:eastAsia="en-NZ"/>
              </w:rPr>
              <w:t>-28%</w:t>
            </w:r>
          </w:p>
        </w:tc>
      </w:tr>
      <w:tr w:rsidR="000E54AB" w:rsidRPr="0017725A" w14:paraId="38F38E40" w14:textId="77777777" w:rsidTr="000E54AB">
        <w:trPr>
          <w:trHeight w:val="205"/>
          <w:jc w:val="center"/>
        </w:trPr>
        <w:tc>
          <w:tcPr>
            <w:tcW w:w="2552" w:type="dxa"/>
            <w:tcBorders>
              <w:top w:val="single" w:sz="18" w:space="0" w:color="auto"/>
              <w:left w:val="nil"/>
              <w:bottom w:val="single" w:sz="4" w:space="0" w:color="auto"/>
              <w:right w:val="single" w:sz="4" w:space="0" w:color="auto"/>
            </w:tcBorders>
            <w:shd w:val="clear" w:color="auto" w:fill="auto"/>
            <w:noWrap/>
            <w:vAlign w:val="bottom"/>
          </w:tcPr>
          <w:p w14:paraId="271CA294" w14:textId="77777777" w:rsidR="000E54AB" w:rsidRPr="000E54AB" w:rsidRDefault="000E54AB" w:rsidP="000E54AB">
            <w:pPr>
              <w:spacing w:after="0" w:line="240" w:lineRule="auto"/>
              <w:jc w:val="right"/>
              <w:rPr>
                <w:rFonts w:ascii="Calibri" w:eastAsia="Times New Roman" w:hAnsi="Calibri" w:cs="Times New Roman"/>
                <w:color w:val="000000"/>
                <w:sz w:val="20"/>
                <w:lang w:eastAsia="en-NZ"/>
              </w:rPr>
            </w:pPr>
            <w:r w:rsidRPr="000E54AB">
              <w:rPr>
                <w:rFonts w:ascii="Calibri" w:eastAsia="Times New Roman" w:hAnsi="Calibri" w:cs="Times New Roman"/>
                <w:color w:val="000000"/>
                <w:sz w:val="20"/>
                <w:lang w:eastAsia="en-NZ"/>
              </w:rPr>
              <w:t>Total population</w:t>
            </w:r>
          </w:p>
        </w:tc>
        <w:tc>
          <w:tcPr>
            <w:tcW w:w="1134" w:type="dxa"/>
            <w:tcBorders>
              <w:top w:val="single" w:sz="18" w:space="0" w:color="auto"/>
              <w:left w:val="single" w:sz="8" w:space="0" w:color="auto"/>
              <w:bottom w:val="single" w:sz="4" w:space="0" w:color="auto"/>
              <w:right w:val="single" w:sz="8" w:space="0" w:color="auto"/>
            </w:tcBorders>
            <w:shd w:val="clear" w:color="auto" w:fill="auto"/>
            <w:noWrap/>
            <w:vAlign w:val="bottom"/>
          </w:tcPr>
          <w:p w14:paraId="1095E102" w14:textId="511D0CA4" w:rsidR="000E54AB" w:rsidRPr="000E54AB" w:rsidRDefault="000E54AB" w:rsidP="000E54AB">
            <w:pPr>
              <w:spacing w:after="0" w:line="240" w:lineRule="auto"/>
              <w:jc w:val="center"/>
              <w:rPr>
                <w:rFonts w:ascii="Calibri" w:eastAsia="Times New Roman" w:hAnsi="Calibri" w:cs="Times New Roman"/>
                <w:color w:val="000000"/>
                <w:sz w:val="20"/>
                <w:lang w:eastAsia="en-NZ"/>
              </w:rPr>
            </w:pPr>
            <w:r w:rsidRPr="000E54AB">
              <w:rPr>
                <w:rFonts w:ascii="Calibri" w:hAnsi="Calibri"/>
                <w:bCs/>
                <w:color w:val="000000"/>
                <w:sz w:val="20"/>
              </w:rPr>
              <w:t>-12%</w:t>
            </w:r>
          </w:p>
        </w:tc>
        <w:tc>
          <w:tcPr>
            <w:tcW w:w="1134" w:type="dxa"/>
            <w:tcBorders>
              <w:top w:val="single" w:sz="18" w:space="0" w:color="auto"/>
              <w:left w:val="nil"/>
              <w:bottom w:val="single" w:sz="4" w:space="0" w:color="auto"/>
              <w:right w:val="single" w:sz="8" w:space="0" w:color="auto"/>
            </w:tcBorders>
            <w:shd w:val="clear" w:color="auto" w:fill="auto"/>
            <w:noWrap/>
            <w:vAlign w:val="bottom"/>
          </w:tcPr>
          <w:p w14:paraId="60E5CA03" w14:textId="627ABFD3" w:rsidR="000E54AB" w:rsidRPr="000E54AB" w:rsidRDefault="000E54AB" w:rsidP="000E54AB">
            <w:pPr>
              <w:spacing w:after="0" w:line="240" w:lineRule="auto"/>
              <w:jc w:val="center"/>
              <w:rPr>
                <w:rFonts w:ascii="Calibri" w:eastAsia="Times New Roman" w:hAnsi="Calibri" w:cs="Times New Roman"/>
                <w:color w:val="000000"/>
                <w:sz w:val="20"/>
                <w:lang w:eastAsia="en-NZ"/>
              </w:rPr>
            </w:pPr>
            <w:r w:rsidRPr="000E54AB">
              <w:rPr>
                <w:rFonts w:ascii="Calibri" w:hAnsi="Calibri"/>
                <w:bCs/>
                <w:color w:val="000000"/>
                <w:sz w:val="20"/>
              </w:rPr>
              <w:t>-11%</w:t>
            </w:r>
          </w:p>
        </w:tc>
        <w:tc>
          <w:tcPr>
            <w:tcW w:w="1276" w:type="dxa"/>
            <w:tcBorders>
              <w:top w:val="single" w:sz="18" w:space="0" w:color="auto"/>
              <w:left w:val="nil"/>
              <w:bottom w:val="single" w:sz="4" w:space="0" w:color="auto"/>
              <w:right w:val="single" w:sz="8" w:space="0" w:color="auto"/>
            </w:tcBorders>
            <w:shd w:val="clear" w:color="auto" w:fill="auto"/>
            <w:noWrap/>
            <w:vAlign w:val="bottom"/>
          </w:tcPr>
          <w:p w14:paraId="6A83CF72" w14:textId="1A1DF019" w:rsidR="000E54AB" w:rsidRPr="000E54AB" w:rsidRDefault="000E54AB" w:rsidP="000E54AB">
            <w:pPr>
              <w:spacing w:after="0" w:line="240" w:lineRule="auto"/>
              <w:jc w:val="center"/>
              <w:rPr>
                <w:rFonts w:ascii="Calibri" w:eastAsia="Times New Roman" w:hAnsi="Calibri" w:cs="Times New Roman"/>
                <w:color w:val="000000"/>
                <w:sz w:val="20"/>
                <w:lang w:eastAsia="en-NZ"/>
              </w:rPr>
            </w:pPr>
            <w:r w:rsidRPr="000E54AB">
              <w:rPr>
                <w:rFonts w:ascii="Calibri" w:hAnsi="Calibri"/>
                <w:bCs/>
                <w:color w:val="000000"/>
                <w:sz w:val="20"/>
              </w:rPr>
              <w:t>-7%</w:t>
            </w:r>
          </w:p>
        </w:tc>
        <w:tc>
          <w:tcPr>
            <w:tcW w:w="1252" w:type="dxa"/>
            <w:tcBorders>
              <w:top w:val="single" w:sz="18" w:space="0" w:color="auto"/>
              <w:left w:val="nil"/>
              <w:bottom w:val="single" w:sz="4" w:space="0" w:color="auto"/>
              <w:right w:val="single" w:sz="8" w:space="0" w:color="auto"/>
            </w:tcBorders>
            <w:shd w:val="clear" w:color="auto" w:fill="auto"/>
            <w:noWrap/>
            <w:vAlign w:val="bottom"/>
          </w:tcPr>
          <w:p w14:paraId="5DBA3A01" w14:textId="0990BEE2" w:rsidR="000E54AB" w:rsidRPr="000E54AB" w:rsidRDefault="000E54AB" w:rsidP="000E54AB">
            <w:pPr>
              <w:spacing w:after="0" w:line="240" w:lineRule="auto"/>
              <w:jc w:val="center"/>
              <w:rPr>
                <w:rFonts w:ascii="Calibri" w:eastAsia="Times New Roman" w:hAnsi="Calibri" w:cs="Times New Roman"/>
                <w:color w:val="000000"/>
                <w:sz w:val="20"/>
                <w:lang w:eastAsia="en-NZ"/>
              </w:rPr>
            </w:pPr>
            <w:r w:rsidRPr="000E54AB">
              <w:rPr>
                <w:rFonts w:ascii="Calibri" w:hAnsi="Calibri"/>
                <w:bCs/>
                <w:color w:val="000000"/>
                <w:sz w:val="20"/>
              </w:rPr>
              <w:t>-75%</w:t>
            </w:r>
          </w:p>
        </w:tc>
        <w:tc>
          <w:tcPr>
            <w:tcW w:w="1353" w:type="dxa"/>
            <w:tcBorders>
              <w:top w:val="single" w:sz="18" w:space="0" w:color="auto"/>
              <w:left w:val="single" w:sz="18" w:space="0" w:color="auto"/>
              <w:bottom w:val="single" w:sz="4" w:space="0" w:color="auto"/>
              <w:right w:val="nil"/>
            </w:tcBorders>
            <w:shd w:val="clear" w:color="auto" w:fill="FFFFFF" w:themeFill="background1"/>
            <w:noWrap/>
            <w:vAlign w:val="bottom"/>
          </w:tcPr>
          <w:p w14:paraId="4C50204A" w14:textId="0A22D627" w:rsidR="000E54AB" w:rsidRPr="000E54AB" w:rsidRDefault="000E54AB" w:rsidP="000E54AB">
            <w:pPr>
              <w:keepNext/>
              <w:spacing w:after="0" w:line="240" w:lineRule="auto"/>
              <w:jc w:val="center"/>
              <w:rPr>
                <w:rFonts w:ascii="Calibri" w:eastAsia="Times New Roman" w:hAnsi="Calibri" w:cs="Times New Roman"/>
                <w:color w:val="000000"/>
                <w:sz w:val="20"/>
                <w:lang w:eastAsia="en-NZ"/>
              </w:rPr>
            </w:pPr>
            <w:r w:rsidRPr="000E54AB">
              <w:rPr>
                <w:rFonts w:ascii="Calibri" w:eastAsia="Times New Roman" w:hAnsi="Calibri" w:cs="Times New Roman"/>
                <w:color w:val="000000"/>
                <w:sz w:val="20"/>
                <w:lang w:eastAsia="en-NZ"/>
              </w:rPr>
              <w:t>-29%</w:t>
            </w:r>
          </w:p>
        </w:tc>
      </w:tr>
    </w:tbl>
    <w:p w14:paraId="3A2CB462" w14:textId="53D1CC90" w:rsidR="0042409E" w:rsidRDefault="0042409E" w:rsidP="0042409E">
      <w:pPr>
        <w:pStyle w:val="Caption"/>
        <w:keepNext/>
      </w:pPr>
      <w:bookmarkStart w:id="24" w:name="_Ref41420630"/>
      <w:r>
        <w:lastRenderedPageBreak/>
        <w:t xml:space="preserve">Figure </w:t>
      </w:r>
      <w:fldSimple w:instr=" SEQ Figure \* ARABIC ">
        <w:r w:rsidR="00CC108E">
          <w:rPr>
            <w:noProof/>
          </w:rPr>
          <w:t>8</w:t>
        </w:r>
      </w:fldSimple>
      <w:bookmarkEnd w:id="24"/>
      <w:r w:rsidR="00350F72">
        <w:t>:</w:t>
      </w:r>
      <w:r w:rsidRPr="0042409E">
        <w:t xml:space="preserve"> </w:t>
      </w:r>
      <w:r>
        <w:t>Number of bronchoscopies by month and year, for the total population (left) and for Māori (right)</w:t>
      </w:r>
    </w:p>
    <w:p w14:paraId="72411AAF" w14:textId="77777777" w:rsidR="0042409E" w:rsidRDefault="000E54AB" w:rsidP="002D4D6B">
      <w:r>
        <w:rPr>
          <w:noProof/>
        </w:rPr>
        <w:drawing>
          <wp:inline distT="0" distB="0" distL="0" distR="0" wp14:anchorId="6A9EB2ED" wp14:editId="46B595BF">
            <wp:extent cx="3086100" cy="2686050"/>
            <wp:effectExtent l="0" t="0" r="0" b="0"/>
            <wp:docPr id="18" name="Chart 18">
              <a:extLst xmlns:a="http://schemas.openxmlformats.org/drawingml/2006/main">
                <a:ext uri="{FF2B5EF4-FFF2-40B4-BE49-F238E27FC236}">
                  <a16:creationId xmlns:a16="http://schemas.microsoft.com/office/drawing/2014/main" id="{AA6BFDEF-58D7-4113-9014-F246017A9E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rPr>
        <w:drawing>
          <wp:inline distT="0" distB="0" distL="0" distR="0" wp14:anchorId="6A29281C" wp14:editId="2BBA924C">
            <wp:extent cx="3028950" cy="2686050"/>
            <wp:effectExtent l="0" t="0" r="0" b="0"/>
            <wp:docPr id="19" name="Chart 19">
              <a:extLst xmlns:a="http://schemas.openxmlformats.org/drawingml/2006/main">
                <a:ext uri="{FF2B5EF4-FFF2-40B4-BE49-F238E27FC236}">
                  <a16:creationId xmlns:a16="http://schemas.microsoft.com/office/drawing/2014/main" id="{272AD2F2-A589-42B7-9795-68E2A39361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6A99C57" w14:textId="324B3026" w:rsidR="0042409E" w:rsidRDefault="0042409E" w:rsidP="0042409E">
      <w:pPr>
        <w:pStyle w:val="Caption"/>
        <w:keepNext/>
      </w:pPr>
      <w:r>
        <w:t xml:space="preserve">Figure </w:t>
      </w:r>
      <w:fldSimple w:instr=" SEQ Figure \* ARABIC ">
        <w:r w:rsidR="00CC108E">
          <w:rPr>
            <w:noProof/>
          </w:rPr>
          <w:t>9</w:t>
        </w:r>
      </w:fldSimple>
      <w:r>
        <w:t xml:space="preserve">: Cumulative number of bronchoscopies procedures by year, </w:t>
      </w:r>
      <w:r w:rsidR="00350F72">
        <w:t xml:space="preserve">for the </w:t>
      </w:r>
      <w:r>
        <w:t>total population (left) and for Māori (right)</w:t>
      </w:r>
    </w:p>
    <w:p w14:paraId="50CB970B" w14:textId="17D21A21" w:rsidR="002D4D6B" w:rsidRDefault="000B6A93" w:rsidP="002D4D6B">
      <w:r>
        <w:rPr>
          <w:noProof/>
        </w:rPr>
        <w:drawing>
          <wp:inline distT="0" distB="0" distL="0" distR="0" wp14:anchorId="20D90347" wp14:editId="27B130AB">
            <wp:extent cx="3086100" cy="2733675"/>
            <wp:effectExtent l="0" t="0" r="0" b="9525"/>
            <wp:docPr id="63" name="Chart 63">
              <a:extLst xmlns:a="http://schemas.openxmlformats.org/drawingml/2006/main">
                <a:ext uri="{FF2B5EF4-FFF2-40B4-BE49-F238E27FC236}">
                  <a16:creationId xmlns:a16="http://schemas.microsoft.com/office/drawing/2014/main" id="{B5FB99E7-58F6-46DD-915C-F571B25D8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rPr>
        <w:drawing>
          <wp:inline distT="0" distB="0" distL="0" distR="0" wp14:anchorId="54F69A13" wp14:editId="0A3F6C52">
            <wp:extent cx="3028950" cy="2733675"/>
            <wp:effectExtent l="0" t="0" r="0" b="9525"/>
            <wp:docPr id="64" name="Chart 64">
              <a:extLst xmlns:a="http://schemas.openxmlformats.org/drawingml/2006/main">
                <a:ext uri="{FF2B5EF4-FFF2-40B4-BE49-F238E27FC236}">
                  <a16:creationId xmlns:a16="http://schemas.microsoft.com/office/drawing/2014/main" id="{F8AECBE5-3499-407A-9D28-532DF2C2EA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3DB050" w14:textId="77777777" w:rsidR="0076192F" w:rsidRDefault="0076192F" w:rsidP="0076192F">
      <w:pPr>
        <w:pStyle w:val="Heading2"/>
      </w:pPr>
      <w:r>
        <w:t>Key points</w:t>
      </w:r>
    </w:p>
    <w:p w14:paraId="59A192FA" w14:textId="1825F930" w:rsidR="0076192F" w:rsidRDefault="0076192F" w:rsidP="0076192F">
      <w:pPr>
        <w:pStyle w:val="ListParagraph"/>
        <w:numPr>
          <w:ilvl w:val="0"/>
          <w:numId w:val="7"/>
        </w:numPr>
      </w:pPr>
      <w:r>
        <w:t xml:space="preserve">There was a substantial decrease in bronchoscopies </w:t>
      </w:r>
      <w:r w:rsidR="00C117E9">
        <w:t xml:space="preserve">performed </w:t>
      </w:r>
      <w:r>
        <w:t>during the lockdown</w:t>
      </w:r>
      <w:r w:rsidR="00C117E9">
        <w:t>, with a 75% decrease in the number of bronchoscopies performed in April 2020 compared to April 2019</w:t>
      </w:r>
      <w:r w:rsidR="00A47229">
        <w:t>.</w:t>
      </w:r>
    </w:p>
    <w:p w14:paraId="26905737" w14:textId="4B5F342A" w:rsidR="0076192F" w:rsidRDefault="001A1264" w:rsidP="0076192F">
      <w:pPr>
        <w:pStyle w:val="ListParagraph"/>
        <w:numPr>
          <w:ilvl w:val="0"/>
          <w:numId w:val="7"/>
        </w:numPr>
      </w:pPr>
      <w:r>
        <w:t xml:space="preserve">There were </w:t>
      </w:r>
      <w:r w:rsidR="0076192F">
        <w:t xml:space="preserve">29% fewer bronchoscopies performed </w:t>
      </w:r>
      <w:r>
        <w:t xml:space="preserve">in the first four months of 2020 compared to the </w:t>
      </w:r>
      <w:r w:rsidR="0076192F">
        <w:t>first four months of 2019.</w:t>
      </w:r>
    </w:p>
    <w:p w14:paraId="0A6EAB68" w14:textId="40303608" w:rsidR="0076192F" w:rsidRDefault="0076192F" w:rsidP="0076192F">
      <w:pPr>
        <w:pStyle w:val="ListParagraph"/>
        <w:numPr>
          <w:ilvl w:val="0"/>
          <w:numId w:val="7"/>
        </w:numPr>
      </w:pPr>
      <w:r>
        <w:t xml:space="preserve">Māori were </w:t>
      </w:r>
      <w:r w:rsidR="003568D7">
        <w:t xml:space="preserve">somewhat </w:t>
      </w:r>
      <w:r>
        <w:t xml:space="preserve">disproportionately impacted by the </w:t>
      </w:r>
      <w:r w:rsidR="00C117E9">
        <w:t xml:space="preserve">cumulative </w:t>
      </w:r>
      <w:r>
        <w:t xml:space="preserve">decrease in bronchoscopies (35% decrease for Māori compared to 28% decrease for non-Māori/non-Pacific). This appears to have started prior to the lockdown, with fewer bronchoscopies from February. </w:t>
      </w:r>
    </w:p>
    <w:p w14:paraId="1F2C973D" w14:textId="541DF3E2" w:rsidR="00AB0320" w:rsidRDefault="00C117E9" w:rsidP="0076192F">
      <w:pPr>
        <w:pStyle w:val="ListParagraph"/>
        <w:numPr>
          <w:ilvl w:val="0"/>
          <w:numId w:val="7"/>
        </w:numPr>
      </w:pPr>
      <w:r>
        <w:t>It is possible that bronchoscop</w:t>
      </w:r>
      <w:r w:rsidR="001A1264">
        <w:t xml:space="preserve">y practice changed earlier than other diagnostic services, </w:t>
      </w:r>
      <w:r>
        <w:t xml:space="preserve">due to the </w:t>
      </w:r>
      <w:r w:rsidRPr="00023AB2">
        <w:t xml:space="preserve">anticipation of COVID-19 </w:t>
      </w:r>
      <w:r>
        <w:t xml:space="preserve">and </w:t>
      </w:r>
      <w:r w:rsidR="001A1264">
        <w:t>caution with aerosolising</w:t>
      </w:r>
      <w:r>
        <w:t xml:space="preserve"> </w:t>
      </w:r>
      <w:r w:rsidR="001A1264">
        <w:t>procedures</w:t>
      </w:r>
      <w:r w:rsidRPr="00023AB2">
        <w:t>.</w:t>
      </w:r>
      <w:r>
        <w:t xml:space="preserve"> It is also possible that </w:t>
      </w:r>
      <w:r w:rsidR="001A1264">
        <w:t xml:space="preserve">this led to an increase in radiological investigation, which would not be captured in </w:t>
      </w:r>
      <w:r w:rsidR="008554F6">
        <w:t xml:space="preserve">these </w:t>
      </w:r>
      <w:r w:rsidR="001A1264">
        <w:t xml:space="preserve">data. </w:t>
      </w:r>
    </w:p>
    <w:p w14:paraId="3B78F9F7" w14:textId="1170BF42" w:rsidR="002A3BC8" w:rsidRDefault="00E5629D" w:rsidP="002A3BC8">
      <w:pPr>
        <w:pStyle w:val="Heading1"/>
      </w:pPr>
      <w:bookmarkStart w:id="25" w:name="_Toc41410745"/>
      <w:bookmarkStart w:id="26" w:name="_Toc41474442"/>
      <w:r>
        <w:lastRenderedPageBreak/>
        <w:t xml:space="preserve">Combined </w:t>
      </w:r>
      <w:r w:rsidR="00AB3739">
        <w:t xml:space="preserve">curative cancer </w:t>
      </w:r>
      <w:r w:rsidR="007154D3">
        <w:t>s</w:t>
      </w:r>
      <w:r w:rsidR="002A3BC8">
        <w:t>urgery</w:t>
      </w:r>
      <w:bookmarkEnd w:id="25"/>
      <w:bookmarkEnd w:id="26"/>
      <w:r w:rsidR="002A3BC8">
        <w:t xml:space="preserve"> </w:t>
      </w:r>
    </w:p>
    <w:p w14:paraId="2B1A4E4D" w14:textId="77777777" w:rsidR="00F62620" w:rsidRDefault="00F62620" w:rsidP="00F62620">
      <w:pPr>
        <w:pStyle w:val="Heading2"/>
      </w:pPr>
      <w:r>
        <w:t>Notes on data</w:t>
      </w:r>
    </w:p>
    <w:p w14:paraId="70B1C9AE" w14:textId="2D9DAAFA" w:rsidR="00AB013B" w:rsidRDefault="00154BBF" w:rsidP="00D104EA">
      <w:pPr>
        <w:pStyle w:val="ListParagraph"/>
        <w:numPr>
          <w:ilvl w:val="0"/>
          <w:numId w:val="12"/>
        </w:numPr>
      </w:pPr>
      <w:r>
        <w:t>Th</w:t>
      </w:r>
      <w:r w:rsidR="001C5208">
        <w:t>is</w:t>
      </w:r>
      <w:r>
        <w:t xml:space="preserve"> report includes data on </w:t>
      </w:r>
      <w:r w:rsidR="002A3BC8">
        <w:t xml:space="preserve">curative surgery for colorectal, lung and prostate cancer. </w:t>
      </w:r>
      <w:r w:rsidR="00D104EA">
        <w:t>These</w:t>
      </w:r>
      <w:r w:rsidR="003C6545">
        <w:t xml:space="preserve"> cancers</w:t>
      </w:r>
      <w:r w:rsidR="00D104EA">
        <w:t xml:space="preserve"> were chosen</w:t>
      </w:r>
      <w:r>
        <w:t xml:space="preserve"> </w:t>
      </w:r>
      <w:r w:rsidR="006C6CC8">
        <w:t>because a pre-validated list of</w:t>
      </w:r>
      <w:r w:rsidR="00E32905">
        <w:t xml:space="preserve"> </w:t>
      </w:r>
      <w:r w:rsidR="003C6545">
        <w:t xml:space="preserve">surgical </w:t>
      </w:r>
      <w:r w:rsidR="00AB013B">
        <w:t xml:space="preserve">procedure codes </w:t>
      </w:r>
      <w:r w:rsidR="00E32905">
        <w:t xml:space="preserve">for these cancers </w:t>
      </w:r>
      <w:r w:rsidR="00DD4A97">
        <w:t>already existed within the Cancer Control Agency</w:t>
      </w:r>
      <w:r w:rsidR="00E32905">
        <w:t xml:space="preserve">– agreed </w:t>
      </w:r>
      <w:r w:rsidR="00AB013B">
        <w:t xml:space="preserve">on as part of the </w:t>
      </w:r>
      <w:r>
        <w:t>quality performance indicator</w:t>
      </w:r>
      <w:r w:rsidR="00AB013B">
        <w:t xml:space="preserve"> </w:t>
      </w:r>
      <w:r>
        <w:t>work programme</w:t>
      </w:r>
      <w:r w:rsidR="00AB013B">
        <w:t xml:space="preserve">. </w:t>
      </w:r>
      <w:r w:rsidR="00DD4A97">
        <w:t xml:space="preserve">These three cancers are therefore used as case studies for cancer surgery more generally. </w:t>
      </w:r>
      <w:r w:rsidR="00AB013B">
        <w:t xml:space="preserve">The procedure codes </w:t>
      </w:r>
      <w:r w:rsidR="001A1264">
        <w:t>are included in Appendix 3</w:t>
      </w:r>
      <w:r>
        <w:t>.</w:t>
      </w:r>
    </w:p>
    <w:p w14:paraId="2B3AA416" w14:textId="00A6DEB1" w:rsidR="002A3BC8" w:rsidRDefault="00B80D55" w:rsidP="00D104EA">
      <w:pPr>
        <w:pStyle w:val="ListParagraph"/>
        <w:numPr>
          <w:ilvl w:val="0"/>
          <w:numId w:val="12"/>
        </w:numPr>
      </w:pPr>
      <w:r>
        <w:t>The</w:t>
      </w:r>
      <w:r w:rsidR="00F62620">
        <w:t xml:space="preserve"> data </w:t>
      </w:r>
      <w:r w:rsidR="001A1264">
        <w:t xml:space="preserve">was extracted </w:t>
      </w:r>
      <w:r w:rsidR="00F62620">
        <w:t>fro</w:t>
      </w:r>
      <w:r w:rsidR="00AB013B">
        <w:t>m the National Minimum Dataset</w:t>
      </w:r>
      <w:r w:rsidR="001A1264">
        <w:t xml:space="preserve"> on 21 May 2020</w:t>
      </w:r>
      <w:r w:rsidR="00AB013B">
        <w:t xml:space="preserve">. </w:t>
      </w:r>
    </w:p>
    <w:p w14:paraId="03B597BE" w14:textId="505AEBC5" w:rsidR="00F62620" w:rsidRDefault="00E5629D" w:rsidP="00F62620">
      <w:pPr>
        <w:pStyle w:val="Heading2"/>
      </w:pPr>
      <w:r>
        <w:t>Results</w:t>
      </w:r>
    </w:p>
    <w:p w14:paraId="688B0CE4" w14:textId="1FBC11CF" w:rsidR="00093162" w:rsidRPr="00093162" w:rsidRDefault="00F0747B" w:rsidP="00093162">
      <w:r>
        <w:t>There was a reduction in cancer surgery performed in April 2020 compared to April 2019 (</w:t>
      </w:r>
      <w:r w:rsidR="001A1264">
        <w:fldChar w:fldCharType="begin"/>
      </w:r>
      <w:r w:rsidR="001A1264">
        <w:instrText xml:space="preserve"> REF _Ref41421668 \h </w:instrText>
      </w:r>
      <w:r w:rsidR="001A1264">
        <w:fldChar w:fldCharType="separate"/>
      </w:r>
      <w:r w:rsidR="00CC108E">
        <w:t xml:space="preserve">Table </w:t>
      </w:r>
      <w:r w:rsidR="00CC108E">
        <w:rPr>
          <w:noProof/>
        </w:rPr>
        <w:t>6</w:t>
      </w:r>
      <w:r w:rsidR="001A1264">
        <w:fldChar w:fldCharType="end"/>
      </w:r>
      <w:r>
        <w:t>). This has resulted in a small reductive in the cumulative number of surgeries performed during the first four months of 2020 compared to the same time period in 2019 (</w:t>
      </w:r>
      <w:r>
        <w:fldChar w:fldCharType="begin"/>
      </w:r>
      <w:r>
        <w:instrText xml:space="preserve"> REF _Ref41422326 \h </w:instrText>
      </w:r>
      <w:r>
        <w:fldChar w:fldCharType="separate"/>
      </w:r>
      <w:r w:rsidR="00CC108E">
        <w:t xml:space="preserve">Figure </w:t>
      </w:r>
      <w:r w:rsidR="00CC108E">
        <w:rPr>
          <w:noProof/>
        </w:rPr>
        <w:t>11</w:t>
      </w:r>
      <w:r>
        <w:fldChar w:fldCharType="end"/>
      </w:r>
      <w:r>
        <w:t>).</w:t>
      </w:r>
    </w:p>
    <w:p w14:paraId="397539C0" w14:textId="738E7590" w:rsidR="001A1264" w:rsidRDefault="001A1264" w:rsidP="001A1264">
      <w:pPr>
        <w:pStyle w:val="Caption"/>
        <w:keepNext/>
      </w:pPr>
      <w:bookmarkStart w:id="27" w:name="_Ref41421668"/>
      <w:r>
        <w:t xml:space="preserve">Table </w:t>
      </w:r>
      <w:fldSimple w:instr=" SEQ Table \* ARABIC ">
        <w:r w:rsidR="00CC108E">
          <w:rPr>
            <w:noProof/>
          </w:rPr>
          <w:t>6</w:t>
        </w:r>
      </w:fldSimple>
      <w:bookmarkEnd w:id="27"/>
      <w:r>
        <w:t xml:space="preserve">: </w:t>
      </w:r>
      <w:r w:rsidRPr="00811C62">
        <w:t>Percentage change</w:t>
      </w:r>
      <w:r w:rsidR="004D5F4D">
        <w:t xml:space="preserve"> in</w:t>
      </w:r>
      <w:r w:rsidRPr="00811C62">
        <w:t xml:space="preserve"> curative surgery (colorectal, lung and prostate) in 2020 compared to 2019 by month, and cumulative year to date</w:t>
      </w:r>
    </w:p>
    <w:tbl>
      <w:tblPr>
        <w:tblW w:w="7605" w:type="dxa"/>
        <w:jc w:val="center"/>
        <w:tblLook w:val="04A0" w:firstRow="1" w:lastRow="0" w:firstColumn="1" w:lastColumn="0" w:noHBand="0" w:noVBand="1"/>
      </w:tblPr>
      <w:tblGrid>
        <w:gridCol w:w="2422"/>
        <w:gridCol w:w="1689"/>
        <w:gridCol w:w="1418"/>
        <w:gridCol w:w="2076"/>
      </w:tblGrid>
      <w:tr w:rsidR="002A3BC8" w:rsidRPr="00C67D1B" w14:paraId="555F20CF" w14:textId="77777777" w:rsidTr="001A1264">
        <w:trPr>
          <w:trHeight w:val="259"/>
          <w:jc w:val="center"/>
        </w:trPr>
        <w:tc>
          <w:tcPr>
            <w:tcW w:w="2422" w:type="dxa"/>
            <w:tcBorders>
              <w:top w:val="nil"/>
              <w:left w:val="nil"/>
              <w:bottom w:val="single" w:sz="4" w:space="0" w:color="auto"/>
              <w:right w:val="single" w:sz="4" w:space="0" w:color="auto"/>
            </w:tcBorders>
            <w:shd w:val="clear" w:color="auto" w:fill="auto"/>
            <w:noWrap/>
            <w:vAlign w:val="bottom"/>
            <w:hideMark/>
          </w:tcPr>
          <w:p w14:paraId="3556B7C5" w14:textId="77777777" w:rsidR="002A3BC8" w:rsidRPr="00350F72" w:rsidRDefault="002A3BC8" w:rsidP="00105D77">
            <w:pPr>
              <w:spacing w:after="0" w:line="240" w:lineRule="auto"/>
              <w:rPr>
                <w:rFonts w:ascii="Times New Roman" w:eastAsia="Times New Roman" w:hAnsi="Times New Roman" w:cs="Times New Roman"/>
                <w:sz w:val="20"/>
                <w:szCs w:val="20"/>
                <w:lang w:eastAsia="en-NZ"/>
              </w:rPr>
            </w:pPr>
          </w:p>
        </w:tc>
        <w:tc>
          <w:tcPr>
            <w:tcW w:w="1689" w:type="dxa"/>
            <w:tcBorders>
              <w:top w:val="nil"/>
              <w:left w:val="single" w:sz="4" w:space="0" w:color="auto"/>
              <w:bottom w:val="single" w:sz="4" w:space="0" w:color="auto"/>
              <w:right w:val="nil"/>
            </w:tcBorders>
            <w:shd w:val="clear" w:color="auto" w:fill="auto"/>
            <w:noWrap/>
            <w:vAlign w:val="bottom"/>
            <w:hideMark/>
          </w:tcPr>
          <w:p w14:paraId="5AD4CF04" w14:textId="0FC921FD" w:rsidR="002A3BC8" w:rsidRPr="00350F72" w:rsidRDefault="002A3BC8" w:rsidP="00154BBF">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March</w:t>
            </w:r>
          </w:p>
        </w:tc>
        <w:tc>
          <w:tcPr>
            <w:tcW w:w="1418" w:type="dxa"/>
            <w:tcBorders>
              <w:top w:val="nil"/>
              <w:left w:val="nil"/>
              <w:bottom w:val="single" w:sz="4" w:space="0" w:color="auto"/>
              <w:right w:val="single" w:sz="18" w:space="0" w:color="auto"/>
            </w:tcBorders>
            <w:shd w:val="clear" w:color="auto" w:fill="auto"/>
            <w:noWrap/>
            <w:vAlign w:val="bottom"/>
            <w:hideMark/>
          </w:tcPr>
          <w:p w14:paraId="3116AD1D" w14:textId="77777777" w:rsidR="002A3BC8" w:rsidRPr="00350F72" w:rsidRDefault="002A3BC8" w:rsidP="00154BBF">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April</w:t>
            </w:r>
          </w:p>
        </w:tc>
        <w:tc>
          <w:tcPr>
            <w:tcW w:w="2076" w:type="dxa"/>
            <w:tcBorders>
              <w:top w:val="nil"/>
              <w:left w:val="single" w:sz="18" w:space="0" w:color="auto"/>
              <w:bottom w:val="single" w:sz="4" w:space="0" w:color="auto"/>
              <w:right w:val="nil"/>
            </w:tcBorders>
            <w:shd w:val="clear" w:color="auto" w:fill="auto"/>
            <w:noWrap/>
            <w:vAlign w:val="bottom"/>
            <w:hideMark/>
          </w:tcPr>
          <w:p w14:paraId="4DFBF126" w14:textId="77777777" w:rsidR="002A3BC8" w:rsidRPr="00350F72" w:rsidRDefault="002A3BC8" w:rsidP="00154BBF">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YTD</w:t>
            </w:r>
          </w:p>
        </w:tc>
      </w:tr>
      <w:tr w:rsidR="00AB013B" w:rsidRPr="00C67D1B" w14:paraId="4918FDE5" w14:textId="77777777" w:rsidTr="001A1264">
        <w:trPr>
          <w:trHeight w:val="259"/>
          <w:jc w:val="center"/>
        </w:trPr>
        <w:tc>
          <w:tcPr>
            <w:tcW w:w="2422" w:type="dxa"/>
            <w:tcBorders>
              <w:top w:val="single" w:sz="4" w:space="0" w:color="auto"/>
              <w:left w:val="nil"/>
              <w:bottom w:val="single" w:sz="4" w:space="0" w:color="auto"/>
              <w:right w:val="single" w:sz="4" w:space="0" w:color="auto"/>
            </w:tcBorders>
            <w:shd w:val="clear" w:color="auto" w:fill="auto"/>
            <w:noWrap/>
            <w:vAlign w:val="bottom"/>
            <w:hideMark/>
          </w:tcPr>
          <w:p w14:paraId="59F16664" w14:textId="77777777" w:rsidR="00AB013B" w:rsidRPr="00350F72" w:rsidRDefault="00AB013B" w:rsidP="00154BBF">
            <w:pPr>
              <w:spacing w:after="0" w:line="240" w:lineRule="auto"/>
              <w:jc w:val="right"/>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Māori</w:t>
            </w:r>
          </w:p>
        </w:tc>
        <w:tc>
          <w:tcPr>
            <w:tcW w:w="1689" w:type="dxa"/>
            <w:tcBorders>
              <w:top w:val="single" w:sz="4" w:space="0" w:color="auto"/>
              <w:left w:val="single" w:sz="4" w:space="0" w:color="auto"/>
              <w:bottom w:val="single" w:sz="4" w:space="0" w:color="auto"/>
            </w:tcBorders>
            <w:shd w:val="clear" w:color="auto" w:fill="auto"/>
            <w:noWrap/>
            <w:vAlign w:val="bottom"/>
            <w:hideMark/>
          </w:tcPr>
          <w:p w14:paraId="1CF1E046" w14:textId="6F01CA11" w:rsidR="00AB013B" w:rsidRPr="00350F72" w:rsidRDefault="00AB013B" w:rsidP="00154BBF">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+16%</w:t>
            </w:r>
          </w:p>
        </w:tc>
        <w:tc>
          <w:tcPr>
            <w:tcW w:w="1418" w:type="dxa"/>
            <w:tcBorders>
              <w:top w:val="single" w:sz="4" w:space="0" w:color="auto"/>
              <w:bottom w:val="single" w:sz="4" w:space="0" w:color="auto"/>
              <w:right w:val="single" w:sz="18" w:space="0" w:color="auto"/>
            </w:tcBorders>
            <w:shd w:val="clear" w:color="auto" w:fill="auto"/>
            <w:noWrap/>
            <w:vAlign w:val="bottom"/>
            <w:hideMark/>
          </w:tcPr>
          <w:p w14:paraId="06359E06" w14:textId="77777777" w:rsidR="00AB013B" w:rsidRPr="00350F72" w:rsidRDefault="00AB013B" w:rsidP="00154BBF">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-25%</w:t>
            </w:r>
          </w:p>
        </w:tc>
        <w:tc>
          <w:tcPr>
            <w:tcW w:w="2076" w:type="dxa"/>
            <w:tcBorders>
              <w:top w:val="single" w:sz="4" w:space="0" w:color="auto"/>
              <w:left w:val="single" w:sz="18" w:space="0" w:color="auto"/>
              <w:bottom w:val="single" w:sz="4" w:space="0" w:color="auto"/>
            </w:tcBorders>
            <w:shd w:val="clear" w:color="auto" w:fill="auto"/>
            <w:noWrap/>
            <w:vAlign w:val="bottom"/>
            <w:hideMark/>
          </w:tcPr>
          <w:p w14:paraId="51FBEF52" w14:textId="32B1D368" w:rsidR="00AB013B" w:rsidRPr="00350F72" w:rsidRDefault="00AB013B" w:rsidP="00154BBF">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+2%</w:t>
            </w:r>
          </w:p>
        </w:tc>
      </w:tr>
      <w:tr w:rsidR="00AB013B" w:rsidRPr="00C67D1B" w14:paraId="71DDDBDE" w14:textId="77777777" w:rsidTr="00350F72">
        <w:trPr>
          <w:trHeight w:val="259"/>
          <w:jc w:val="center"/>
        </w:trPr>
        <w:tc>
          <w:tcPr>
            <w:tcW w:w="2422" w:type="dxa"/>
            <w:tcBorders>
              <w:top w:val="single" w:sz="4" w:space="0" w:color="auto"/>
              <w:left w:val="nil"/>
              <w:bottom w:val="single" w:sz="18" w:space="0" w:color="auto"/>
              <w:right w:val="single" w:sz="4" w:space="0" w:color="auto"/>
            </w:tcBorders>
            <w:shd w:val="clear" w:color="auto" w:fill="auto"/>
            <w:noWrap/>
            <w:vAlign w:val="bottom"/>
          </w:tcPr>
          <w:p w14:paraId="734AD20B" w14:textId="0DAEC15C" w:rsidR="00AB013B" w:rsidRPr="00350F72" w:rsidRDefault="00AB013B" w:rsidP="00154BBF">
            <w:pPr>
              <w:spacing w:after="0" w:line="240" w:lineRule="auto"/>
              <w:jc w:val="right"/>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Non-Māori/Non-Pacific</w:t>
            </w:r>
          </w:p>
        </w:tc>
        <w:tc>
          <w:tcPr>
            <w:tcW w:w="1689" w:type="dxa"/>
            <w:tcBorders>
              <w:top w:val="single" w:sz="4" w:space="0" w:color="auto"/>
              <w:left w:val="single" w:sz="4" w:space="0" w:color="auto"/>
              <w:bottom w:val="single" w:sz="18" w:space="0" w:color="auto"/>
            </w:tcBorders>
            <w:shd w:val="clear" w:color="auto" w:fill="auto"/>
            <w:noWrap/>
            <w:vAlign w:val="bottom"/>
          </w:tcPr>
          <w:p w14:paraId="1868F525" w14:textId="17889D28" w:rsidR="00AB013B" w:rsidRPr="00350F72" w:rsidRDefault="00AB013B" w:rsidP="00154BBF">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-8%</w:t>
            </w:r>
          </w:p>
        </w:tc>
        <w:tc>
          <w:tcPr>
            <w:tcW w:w="1418" w:type="dxa"/>
            <w:tcBorders>
              <w:top w:val="single" w:sz="4" w:space="0" w:color="auto"/>
              <w:bottom w:val="single" w:sz="18" w:space="0" w:color="auto"/>
              <w:right w:val="single" w:sz="18" w:space="0" w:color="auto"/>
            </w:tcBorders>
            <w:shd w:val="clear" w:color="auto" w:fill="auto"/>
            <w:noWrap/>
            <w:vAlign w:val="bottom"/>
          </w:tcPr>
          <w:p w14:paraId="0D915DBE" w14:textId="188209EF" w:rsidR="00AB013B" w:rsidRPr="00350F72" w:rsidRDefault="00AB013B" w:rsidP="00154BBF">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-32%</w:t>
            </w:r>
          </w:p>
        </w:tc>
        <w:tc>
          <w:tcPr>
            <w:tcW w:w="2076" w:type="dxa"/>
            <w:tcBorders>
              <w:top w:val="single" w:sz="4" w:space="0" w:color="auto"/>
              <w:left w:val="single" w:sz="18" w:space="0" w:color="auto"/>
              <w:bottom w:val="single" w:sz="18" w:space="0" w:color="auto"/>
            </w:tcBorders>
            <w:shd w:val="clear" w:color="auto" w:fill="auto"/>
            <w:noWrap/>
            <w:vAlign w:val="bottom"/>
          </w:tcPr>
          <w:p w14:paraId="1CC5F893" w14:textId="604425FE" w:rsidR="00AB013B" w:rsidRPr="00350F72" w:rsidRDefault="00AB013B" w:rsidP="00154BBF">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-10%</w:t>
            </w:r>
          </w:p>
        </w:tc>
      </w:tr>
      <w:tr w:rsidR="00AB013B" w:rsidRPr="00C67D1B" w14:paraId="2D7D1F91" w14:textId="77777777" w:rsidTr="00350F72">
        <w:trPr>
          <w:trHeight w:val="259"/>
          <w:jc w:val="center"/>
        </w:trPr>
        <w:tc>
          <w:tcPr>
            <w:tcW w:w="2422" w:type="dxa"/>
            <w:tcBorders>
              <w:top w:val="single" w:sz="18" w:space="0" w:color="auto"/>
              <w:left w:val="nil"/>
              <w:bottom w:val="single" w:sz="4" w:space="0" w:color="auto"/>
              <w:right w:val="single" w:sz="4" w:space="0" w:color="auto"/>
            </w:tcBorders>
            <w:shd w:val="clear" w:color="auto" w:fill="auto"/>
            <w:noWrap/>
            <w:vAlign w:val="bottom"/>
            <w:hideMark/>
          </w:tcPr>
          <w:p w14:paraId="3533C5A8" w14:textId="4898DF6C" w:rsidR="00AB013B" w:rsidRPr="00350F72" w:rsidRDefault="00AB013B" w:rsidP="00154BBF">
            <w:pPr>
              <w:spacing w:after="0" w:line="240" w:lineRule="auto"/>
              <w:jc w:val="right"/>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Total</w:t>
            </w:r>
            <w:r w:rsidR="001A1264" w:rsidRPr="00350F72">
              <w:rPr>
                <w:rFonts w:ascii="Calibri" w:eastAsia="Times New Roman" w:hAnsi="Calibri" w:cs="Times New Roman"/>
                <w:color w:val="000000"/>
                <w:sz w:val="20"/>
                <w:lang w:eastAsia="en-NZ"/>
              </w:rPr>
              <w:t xml:space="preserve"> Population</w:t>
            </w:r>
            <w:r w:rsidRPr="00350F72">
              <w:rPr>
                <w:rFonts w:ascii="Calibri" w:eastAsia="Times New Roman" w:hAnsi="Calibri" w:cs="Times New Roman"/>
                <w:color w:val="000000"/>
                <w:sz w:val="20"/>
                <w:lang w:eastAsia="en-NZ"/>
              </w:rPr>
              <w:t xml:space="preserve">  </w:t>
            </w:r>
          </w:p>
        </w:tc>
        <w:tc>
          <w:tcPr>
            <w:tcW w:w="1689" w:type="dxa"/>
            <w:tcBorders>
              <w:top w:val="single" w:sz="18" w:space="0" w:color="auto"/>
              <w:left w:val="single" w:sz="4" w:space="0" w:color="auto"/>
              <w:bottom w:val="single" w:sz="4" w:space="0" w:color="auto"/>
            </w:tcBorders>
            <w:shd w:val="clear" w:color="auto" w:fill="auto"/>
            <w:noWrap/>
            <w:vAlign w:val="bottom"/>
            <w:hideMark/>
          </w:tcPr>
          <w:p w14:paraId="1E32A120" w14:textId="77777777" w:rsidR="00AB013B" w:rsidRPr="00350F72" w:rsidRDefault="00AB013B" w:rsidP="00154BBF">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-7%</w:t>
            </w:r>
          </w:p>
        </w:tc>
        <w:tc>
          <w:tcPr>
            <w:tcW w:w="1418" w:type="dxa"/>
            <w:tcBorders>
              <w:top w:val="single" w:sz="18" w:space="0" w:color="auto"/>
              <w:bottom w:val="single" w:sz="4" w:space="0" w:color="auto"/>
              <w:right w:val="single" w:sz="18" w:space="0" w:color="auto"/>
            </w:tcBorders>
            <w:shd w:val="clear" w:color="auto" w:fill="auto"/>
            <w:noWrap/>
            <w:vAlign w:val="bottom"/>
            <w:hideMark/>
          </w:tcPr>
          <w:p w14:paraId="175C00B6" w14:textId="77777777" w:rsidR="00AB013B" w:rsidRPr="00350F72" w:rsidRDefault="00AB013B" w:rsidP="00154BBF">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-33%</w:t>
            </w:r>
          </w:p>
        </w:tc>
        <w:tc>
          <w:tcPr>
            <w:tcW w:w="2076" w:type="dxa"/>
            <w:tcBorders>
              <w:top w:val="single" w:sz="18" w:space="0" w:color="auto"/>
              <w:left w:val="single" w:sz="18" w:space="0" w:color="auto"/>
              <w:bottom w:val="single" w:sz="4" w:space="0" w:color="auto"/>
            </w:tcBorders>
            <w:shd w:val="clear" w:color="auto" w:fill="auto"/>
            <w:noWrap/>
            <w:vAlign w:val="bottom"/>
            <w:hideMark/>
          </w:tcPr>
          <w:p w14:paraId="3F940B2A" w14:textId="77777777" w:rsidR="00AB013B" w:rsidRPr="00350F72" w:rsidRDefault="00AB013B" w:rsidP="00154BBF">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-9%</w:t>
            </w:r>
          </w:p>
        </w:tc>
      </w:tr>
    </w:tbl>
    <w:p w14:paraId="093C5315" w14:textId="46F8ABEC" w:rsidR="002A3BC8" w:rsidRPr="00C67D1B" w:rsidRDefault="001A1264" w:rsidP="00093162">
      <w:pPr>
        <w:pStyle w:val="Caption"/>
      </w:pPr>
      <w:r>
        <w:t xml:space="preserve"> </w:t>
      </w:r>
    </w:p>
    <w:p w14:paraId="47569B3E" w14:textId="0C1BA765" w:rsidR="00F0747B" w:rsidRDefault="00F0747B" w:rsidP="00F0747B">
      <w:pPr>
        <w:pStyle w:val="Caption"/>
        <w:keepNext/>
      </w:pPr>
      <w:bookmarkStart w:id="28" w:name="_Ref41422111"/>
      <w:r>
        <w:t xml:space="preserve">Figure </w:t>
      </w:r>
      <w:fldSimple w:instr=" SEQ Figure \* ARABIC ">
        <w:r w:rsidR="00CC108E">
          <w:rPr>
            <w:noProof/>
          </w:rPr>
          <w:t>10</w:t>
        </w:r>
      </w:fldSimple>
      <w:bookmarkEnd w:id="28"/>
      <w:r>
        <w:t xml:space="preserve">: </w:t>
      </w:r>
      <w:r w:rsidRPr="00D91C4C">
        <w:t>Number of</w:t>
      </w:r>
      <w:r>
        <w:t xml:space="preserve"> curative cancer surgeries (prostate, colorectal, lung)</w:t>
      </w:r>
      <w:r w:rsidRPr="00D91C4C">
        <w:t xml:space="preserve"> by month and year, for the total population (left) and for Māori (right)</w:t>
      </w:r>
    </w:p>
    <w:p w14:paraId="6A4BF131" w14:textId="67B142CB" w:rsidR="004731B5" w:rsidRDefault="00154BBF" w:rsidP="00EB7357">
      <w:r>
        <w:rPr>
          <w:noProof/>
        </w:rPr>
        <w:drawing>
          <wp:inline distT="0" distB="0" distL="0" distR="0" wp14:anchorId="43A5A4F4" wp14:editId="6B5659BB">
            <wp:extent cx="3060700" cy="2990850"/>
            <wp:effectExtent l="0" t="0" r="6350" b="0"/>
            <wp:docPr id="65" name="Chart 65">
              <a:extLst xmlns:a="http://schemas.openxmlformats.org/drawingml/2006/main">
                <a:ext uri="{FF2B5EF4-FFF2-40B4-BE49-F238E27FC236}">
                  <a16:creationId xmlns:a16="http://schemas.microsoft.com/office/drawing/2014/main" id="{10AA6611-9DAE-4124-9712-2BFB825404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rPr>
        <w:drawing>
          <wp:inline distT="0" distB="0" distL="0" distR="0" wp14:anchorId="165C4F8C" wp14:editId="00490E0D">
            <wp:extent cx="3076575" cy="2981325"/>
            <wp:effectExtent l="0" t="0" r="9525" b="9525"/>
            <wp:docPr id="66" name="Chart 66">
              <a:extLst xmlns:a="http://schemas.openxmlformats.org/drawingml/2006/main">
                <a:ext uri="{FF2B5EF4-FFF2-40B4-BE49-F238E27FC236}">
                  <a16:creationId xmlns:a16="http://schemas.microsoft.com/office/drawing/2014/main" id="{4FEB148B-AB4C-4EA4-B9F1-E282A6D1E0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E9F400B" w14:textId="0A035D8E" w:rsidR="00F0747B" w:rsidRDefault="00F0747B" w:rsidP="00F0747B">
      <w:pPr>
        <w:pStyle w:val="Caption"/>
        <w:keepNext/>
      </w:pPr>
      <w:bookmarkStart w:id="29" w:name="_Ref41422326"/>
      <w:r>
        <w:lastRenderedPageBreak/>
        <w:t xml:space="preserve">Figure </w:t>
      </w:r>
      <w:fldSimple w:instr=" SEQ Figure \* ARABIC ">
        <w:r w:rsidR="00CC108E">
          <w:rPr>
            <w:noProof/>
          </w:rPr>
          <w:t>11</w:t>
        </w:r>
      </w:fldSimple>
      <w:bookmarkEnd w:id="29"/>
      <w:r>
        <w:t>: Cumulative number of curative cancer surgeries (colorectal, lung, prostate) by year, for the total population (left) and for Māori (right)</w:t>
      </w:r>
    </w:p>
    <w:p w14:paraId="6167A1E1" w14:textId="734B4486" w:rsidR="004837DB" w:rsidRPr="00EB7357" w:rsidRDefault="00F27CE6" w:rsidP="00EB7357">
      <w:r>
        <w:rPr>
          <w:noProof/>
        </w:rPr>
        <w:drawing>
          <wp:inline distT="0" distB="0" distL="0" distR="0" wp14:anchorId="3546A998" wp14:editId="27AF05DA">
            <wp:extent cx="3068955" cy="3330575"/>
            <wp:effectExtent l="0" t="0" r="17145" b="3175"/>
            <wp:docPr id="67" name="Chart 67">
              <a:extLst xmlns:a="http://schemas.openxmlformats.org/drawingml/2006/main">
                <a:ext uri="{FF2B5EF4-FFF2-40B4-BE49-F238E27FC236}">
                  <a16:creationId xmlns:a16="http://schemas.microsoft.com/office/drawing/2014/main" id="{E7810696-672B-417E-80F0-1D6732EA00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F27CE6">
        <w:rPr>
          <w:noProof/>
        </w:rPr>
        <w:t xml:space="preserve"> </w:t>
      </w:r>
      <w:r>
        <w:rPr>
          <w:noProof/>
        </w:rPr>
        <w:drawing>
          <wp:inline distT="0" distB="0" distL="0" distR="0" wp14:anchorId="56B5F754" wp14:editId="2D033CAF">
            <wp:extent cx="3068955" cy="3323646"/>
            <wp:effectExtent l="0" t="0" r="17145" b="10160"/>
            <wp:docPr id="68" name="Chart 68">
              <a:extLst xmlns:a="http://schemas.openxmlformats.org/drawingml/2006/main">
                <a:ext uri="{FF2B5EF4-FFF2-40B4-BE49-F238E27FC236}">
                  <a16:creationId xmlns:a16="http://schemas.microsoft.com/office/drawing/2014/main" id="{6940B755-6A81-468D-9458-C5C36F2D49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99C8D5C" w14:textId="77777777" w:rsidR="0076192F" w:rsidRDefault="0076192F" w:rsidP="0076192F">
      <w:pPr>
        <w:pStyle w:val="Heading2"/>
      </w:pPr>
      <w:r>
        <w:t>Key points</w:t>
      </w:r>
    </w:p>
    <w:p w14:paraId="65E7EF4A" w14:textId="77777777" w:rsidR="0076192F" w:rsidRDefault="0076192F" w:rsidP="0076192F">
      <w:pPr>
        <w:pStyle w:val="ListParagraph"/>
        <w:numPr>
          <w:ilvl w:val="0"/>
          <w:numId w:val="13"/>
        </w:numPr>
      </w:pPr>
      <w:r>
        <w:t xml:space="preserve">There was a 33% decrease in curative cancer surgeries (prostate, lung and colorectal) in April 2020 compared to April 2019. This contributed to a 9% overall decrease in curative cancer surgeries for 2020 year to date. </w:t>
      </w:r>
    </w:p>
    <w:p w14:paraId="0DD3E72B" w14:textId="180E8392" w:rsidR="0076192F" w:rsidRDefault="0076192F" w:rsidP="0076192F">
      <w:pPr>
        <w:pStyle w:val="ListParagraph"/>
        <w:numPr>
          <w:ilvl w:val="0"/>
          <w:numId w:val="13"/>
        </w:numPr>
      </w:pPr>
      <w:r>
        <w:t>The decrease in surgery was less for Māori than for non-Māori/non-Pacific in the month of April (25% decrease for Māori compared to 3</w:t>
      </w:r>
      <w:r w:rsidR="00263E1C">
        <w:t>2</w:t>
      </w:r>
      <w:r>
        <w:t xml:space="preserve">% decrease for non-Māori/non-Pacific). Over the first four months of 2020 there has been a 2% increase in curative cancer surgery for Māori (compared to a 10% decrease for non-Māori/non-Pacific).  </w:t>
      </w:r>
    </w:p>
    <w:p w14:paraId="155804B6" w14:textId="2CD178EE" w:rsidR="0076192F" w:rsidRPr="00E5629D" w:rsidRDefault="0076192F" w:rsidP="0076192F">
      <w:pPr>
        <w:pStyle w:val="ListParagraph"/>
        <w:numPr>
          <w:ilvl w:val="0"/>
          <w:numId w:val="13"/>
        </w:numPr>
      </w:pPr>
      <w:r>
        <w:t xml:space="preserve">The decrease in curative </w:t>
      </w:r>
      <w:r w:rsidR="0055119B">
        <w:t xml:space="preserve">cancer </w:t>
      </w:r>
      <w:r>
        <w:t>surgery is less abrupt than the decrease in endoscopies and appears to occur slightly after the lockdown began. This suggests that the decrease in surgery may be driven by a decrease in diagnostic services</w:t>
      </w:r>
      <w:r w:rsidR="00F0747B">
        <w:t xml:space="preserve"> (this is looked at further in the following section on colorectal surgery)</w:t>
      </w:r>
      <w:r>
        <w:t xml:space="preserve"> </w:t>
      </w:r>
    </w:p>
    <w:p w14:paraId="02602502" w14:textId="6681B925" w:rsidR="008F5DD2" w:rsidRDefault="008F5DD2" w:rsidP="008F5DD2">
      <w:pPr>
        <w:pStyle w:val="Heading1"/>
      </w:pPr>
      <w:bookmarkStart w:id="30" w:name="_Toc41410746"/>
      <w:bookmarkStart w:id="31" w:name="_Toc41474443"/>
      <w:r>
        <w:t>Colorectal</w:t>
      </w:r>
      <w:r w:rsidR="007154D3">
        <w:t xml:space="preserve"> cancer</w:t>
      </w:r>
      <w:r>
        <w:t xml:space="preserve"> surgery</w:t>
      </w:r>
      <w:bookmarkEnd w:id="30"/>
      <w:bookmarkEnd w:id="31"/>
    </w:p>
    <w:p w14:paraId="3D7879E5" w14:textId="77777777" w:rsidR="008F5DD2" w:rsidRDefault="008F5DD2" w:rsidP="008F5DD2">
      <w:pPr>
        <w:pStyle w:val="Heading2"/>
      </w:pPr>
      <w:r>
        <w:t>Notes on data</w:t>
      </w:r>
    </w:p>
    <w:p w14:paraId="51E91A90" w14:textId="37AE4D6E" w:rsidR="008F5DD2" w:rsidRDefault="008B113E" w:rsidP="008F5DD2">
      <w:pPr>
        <w:pStyle w:val="ListParagraph"/>
        <w:numPr>
          <w:ilvl w:val="0"/>
          <w:numId w:val="12"/>
        </w:numPr>
      </w:pPr>
      <w:r>
        <w:t>A list of the surgical p</w:t>
      </w:r>
      <w:r w:rsidR="008F5DD2">
        <w:t xml:space="preserve">rocedure codes </w:t>
      </w:r>
      <w:r>
        <w:t xml:space="preserve">used for analysis are </w:t>
      </w:r>
      <w:r w:rsidR="008F5DD2">
        <w:t xml:space="preserve">included in </w:t>
      </w:r>
      <w:r>
        <w:t>A</w:t>
      </w:r>
      <w:r w:rsidR="008F5DD2">
        <w:t xml:space="preserve">ppendix </w:t>
      </w:r>
      <w:r>
        <w:t>3.</w:t>
      </w:r>
    </w:p>
    <w:p w14:paraId="51D92555" w14:textId="77777777" w:rsidR="008B113E" w:rsidRDefault="008B113E" w:rsidP="008B113E">
      <w:pPr>
        <w:pStyle w:val="ListParagraph"/>
        <w:numPr>
          <w:ilvl w:val="0"/>
          <w:numId w:val="12"/>
        </w:numPr>
      </w:pPr>
      <w:r>
        <w:t xml:space="preserve">The data was extracted from the National Minimum Dataset on 21 May 2020. </w:t>
      </w:r>
    </w:p>
    <w:p w14:paraId="61DAE16F" w14:textId="7CCC9EAC" w:rsidR="008F5DD2" w:rsidRDefault="008F5DD2" w:rsidP="008F5DD2">
      <w:pPr>
        <w:pStyle w:val="Heading2"/>
      </w:pPr>
      <w:r>
        <w:t>Results</w:t>
      </w:r>
    </w:p>
    <w:p w14:paraId="270F2335" w14:textId="5B645ACC" w:rsidR="008F5DD2" w:rsidRPr="007B267C" w:rsidRDefault="008B113E" w:rsidP="008F5DD2">
      <w:r>
        <w:t xml:space="preserve">There was a reduction in the total number of curative colorectal cancer surgeries performed in April 2020 compared to April 2019. </w:t>
      </w:r>
      <w:r w:rsidR="004D60C0">
        <w:t>The decrease in surgery is smaller for Māori compared to non-Māori (</w:t>
      </w:r>
      <w:r w:rsidR="00A61C54">
        <w:fldChar w:fldCharType="begin"/>
      </w:r>
      <w:r w:rsidR="00A61C54">
        <w:instrText xml:space="preserve"> REF _Ref41475688 \h </w:instrText>
      </w:r>
      <w:r w:rsidR="00A61C54">
        <w:fldChar w:fldCharType="separate"/>
      </w:r>
      <w:r w:rsidR="00CC108E">
        <w:t xml:space="preserve">Table </w:t>
      </w:r>
      <w:r w:rsidR="00CC108E">
        <w:rPr>
          <w:noProof/>
        </w:rPr>
        <w:t>7</w:t>
      </w:r>
      <w:r w:rsidR="00A61C54">
        <w:fldChar w:fldCharType="end"/>
      </w:r>
      <w:r w:rsidR="00A61C54">
        <w:t xml:space="preserve">). </w:t>
      </w:r>
      <w:r w:rsidR="004D60C0">
        <w:t xml:space="preserve">Despite the lockdown, there has been a </w:t>
      </w:r>
      <w:r w:rsidR="00E52FAE">
        <w:t xml:space="preserve">substantial </w:t>
      </w:r>
      <w:r w:rsidR="004D60C0">
        <w:t>increase in the number of colorectal cancer surgeries for Māori in the first four months of 2020 compared to the same time period in 2019 (</w:t>
      </w:r>
      <w:r w:rsidR="004D60C0">
        <w:fldChar w:fldCharType="begin"/>
      </w:r>
      <w:r w:rsidR="004D60C0">
        <w:instrText xml:space="preserve"> REF _Ref41423549 \h </w:instrText>
      </w:r>
      <w:r w:rsidR="004D60C0">
        <w:fldChar w:fldCharType="separate"/>
      </w:r>
      <w:r w:rsidR="00CC108E">
        <w:t xml:space="preserve">Figure </w:t>
      </w:r>
      <w:r w:rsidR="00CC108E">
        <w:rPr>
          <w:noProof/>
        </w:rPr>
        <w:t>13</w:t>
      </w:r>
      <w:r w:rsidR="004D60C0">
        <w:fldChar w:fldCharType="end"/>
      </w:r>
      <w:r w:rsidR="004D60C0">
        <w:t xml:space="preserve">). </w:t>
      </w:r>
      <w:r w:rsidR="008F5DD2">
        <w:t xml:space="preserve"> </w:t>
      </w:r>
    </w:p>
    <w:p w14:paraId="6D81136E" w14:textId="1A3963C1" w:rsidR="00F0747B" w:rsidRDefault="00F0747B" w:rsidP="00F0747B">
      <w:pPr>
        <w:pStyle w:val="Caption"/>
        <w:keepNext/>
      </w:pPr>
      <w:bookmarkStart w:id="32" w:name="_Ref41475688"/>
      <w:r>
        <w:lastRenderedPageBreak/>
        <w:t xml:space="preserve">Table </w:t>
      </w:r>
      <w:fldSimple w:instr=" SEQ Table \* ARABIC ">
        <w:r w:rsidR="00CC108E">
          <w:rPr>
            <w:noProof/>
          </w:rPr>
          <w:t>7</w:t>
        </w:r>
      </w:fldSimple>
      <w:bookmarkEnd w:id="32"/>
      <w:r>
        <w:t>:</w:t>
      </w:r>
      <w:r w:rsidRPr="00F0747B">
        <w:t xml:space="preserve"> </w:t>
      </w:r>
      <w:r w:rsidRPr="000E7176">
        <w:t xml:space="preserve">Percentage change in curative </w:t>
      </w:r>
      <w:r>
        <w:t>colorectal</w:t>
      </w:r>
      <w:r w:rsidRPr="000E7176">
        <w:t xml:space="preserve"> cancer surgery in 2020 compared to 2019 by month, and cumulative year to date</w:t>
      </w:r>
    </w:p>
    <w:tbl>
      <w:tblPr>
        <w:tblW w:w="6596" w:type="dxa"/>
        <w:jc w:val="center"/>
        <w:tblLook w:val="04A0" w:firstRow="1" w:lastRow="0" w:firstColumn="1" w:lastColumn="0" w:noHBand="0" w:noVBand="1"/>
      </w:tblPr>
      <w:tblGrid>
        <w:gridCol w:w="2472"/>
        <w:gridCol w:w="1100"/>
        <w:gridCol w:w="1512"/>
        <w:gridCol w:w="1512"/>
      </w:tblGrid>
      <w:tr w:rsidR="008F5DD2" w:rsidRPr="00C67D1B" w14:paraId="4A536016" w14:textId="77777777" w:rsidTr="00E17C67">
        <w:trPr>
          <w:trHeight w:val="272"/>
          <w:jc w:val="center"/>
        </w:trPr>
        <w:tc>
          <w:tcPr>
            <w:tcW w:w="2472" w:type="dxa"/>
            <w:tcBorders>
              <w:top w:val="nil"/>
              <w:left w:val="nil"/>
              <w:bottom w:val="single" w:sz="4" w:space="0" w:color="auto"/>
              <w:right w:val="single" w:sz="4" w:space="0" w:color="auto"/>
            </w:tcBorders>
            <w:shd w:val="clear" w:color="auto" w:fill="auto"/>
            <w:noWrap/>
            <w:vAlign w:val="bottom"/>
          </w:tcPr>
          <w:p w14:paraId="192BC484" w14:textId="77777777" w:rsidR="008F5DD2" w:rsidRPr="00350F72" w:rsidRDefault="008F5DD2" w:rsidP="008F5DD2">
            <w:pPr>
              <w:spacing w:after="0" w:line="240" w:lineRule="auto"/>
              <w:jc w:val="right"/>
              <w:rPr>
                <w:rFonts w:ascii="Calibri" w:eastAsia="Times New Roman" w:hAnsi="Calibri" w:cs="Times New Roman"/>
                <w:color w:val="000000"/>
                <w:sz w:val="20"/>
                <w:lang w:eastAsia="en-NZ"/>
              </w:rPr>
            </w:pPr>
          </w:p>
        </w:tc>
        <w:tc>
          <w:tcPr>
            <w:tcW w:w="1100" w:type="dxa"/>
            <w:tcBorders>
              <w:left w:val="single" w:sz="4" w:space="0" w:color="auto"/>
              <w:bottom w:val="single" w:sz="4" w:space="0" w:color="auto"/>
            </w:tcBorders>
            <w:shd w:val="clear" w:color="auto" w:fill="auto"/>
            <w:noWrap/>
            <w:vAlign w:val="bottom"/>
          </w:tcPr>
          <w:p w14:paraId="3F1EBDF7" w14:textId="77777777" w:rsidR="008F5DD2" w:rsidRPr="00350F72" w:rsidRDefault="008F5DD2" w:rsidP="008F5DD2">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March</w:t>
            </w:r>
          </w:p>
        </w:tc>
        <w:tc>
          <w:tcPr>
            <w:tcW w:w="1512" w:type="dxa"/>
            <w:tcBorders>
              <w:bottom w:val="single" w:sz="4" w:space="0" w:color="auto"/>
              <w:right w:val="single" w:sz="18" w:space="0" w:color="auto"/>
            </w:tcBorders>
            <w:shd w:val="clear" w:color="auto" w:fill="auto"/>
            <w:noWrap/>
            <w:vAlign w:val="bottom"/>
          </w:tcPr>
          <w:p w14:paraId="196A878C" w14:textId="77777777" w:rsidR="008F5DD2" w:rsidRPr="00350F72" w:rsidRDefault="008F5DD2" w:rsidP="008F5DD2">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April</w:t>
            </w:r>
          </w:p>
        </w:tc>
        <w:tc>
          <w:tcPr>
            <w:tcW w:w="1512" w:type="dxa"/>
            <w:tcBorders>
              <w:left w:val="single" w:sz="18" w:space="0" w:color="auto"/>
              <w:bottom w:val="single" w:sz="4" w:space="0" w:color="auto"/>
            </w:tcBorders>
            <w:shd w:val="clear" w:color="auto" w:fill="auto"/>
            <w:noWrap/>
            <w:vAlign w:val="bottom"/>
          </w:tcPr>
          <w:p w14:paraId="26DEBF08" w14:textId="77777777" w:rsidR="008F5DD2" w:rsidRPr="00350F72" w:rsidRDefault="008F5DD2" w:rsidP="008F5DD2">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YTD</w:t>
            </w:r>
          </w:p>
        </w:tc>
      </w:tr>
      <w:tr w:rsidR="008F5DD2" w:rsidRPr="00C67D1B" w14:paraId="4A000D62" w14:textId="77777777" w:rsidTr="00E17C67">
        <w:trPr>
          <w:trHeight w:val="272"/>
          <w:jc w:val="center"/>
        </w:trPr>
        <w:tc>
          <w:tcPr>
            <w:tcW w:w="2472" w:type="dxa"/>
            <w:tcBorders>
              <w:top w:val="single" w:sz="4" w:space="0" w:color="auto"/>
              <w:left w:val="nil"/>
              <w:bottom w:val="single" w:sz="4" w:space="0" w:color="auto"/>
              <w:right w:val="single" w:sz="4" w:space="0" w:color="auto"/>
            </w:tcBorders>
            <w:shd w:val="clear" w:color="auto" w:fill="auto"/>
            <w:noWrap/>
            <w:vAlign w:val="bottom"/>
            <w:hideMark/>
          </w:tcPr>
          <w:p w14:paraId="7B99FF16" w14:textId="77777777" w:rsidR="008F5DD2" w:rsidRPr="00350F72" w:rsidRDefault="008F5DD2" w:rsidP="008F5DD2">
            <w:pPr>
              <w:spacing w:after="0" w:line="240" w:lineRule="auto"/>
              <w:jc w:val="right"/>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Māori</w:t>
            </w:r>
          </w:p>
        </w:tc>
        <w:tc>
          <w:tcPr>
            <w:tcW w:w="1100" w:type="dxa"/>
            <w:tcBorders>
              <w:top w:val="single" w:sz="4" w:space="0" w:color="auto"/>
              <w:left w:val="single" w:sz="4" w:space="0" w:color="auto"/>
              <w:bottom w:val="single" w:sz="4" w:space="0" w:color="auto"/>
            </w:tcBorders>
            <w:shd w:val="clear" w:color="auto" w:fill="auto"/>
            <w:noWrap/>
            <w:vAlign w:val="bottom"/>
          </w:tcPr>
          <w:p w14:paraId="5DDBD9B0" w14:textId="77777777" w:rsidR="008F5DD2" w:rsidRPr="00350F72" w:rsidRDefault="008F5DD2" w:rsidP="008F5DD2">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+94%</w:t>
            </w:r>
          </w:p>
        </w:tc>
        <w:tc>
          <w:tcPr>
            <w:tcW w:w="1512" w:type="dxa"/>
            <w:tcBorders>
              <w:top w:val="single" w:sz="4" w:space="0" w:color="auto"/>
              <w:bottom w:val="single" w:sz="4" w:space="0" w:color="auto"/>
              <w:right w:val="single" w:sz="18" w:space="0" w:color="auto"/>
            </w:tcBorders>
            <w:shd w:val="clear" w:color="auto" w:fill="auto"/>
            <w:noWrap/>
            <w:vAlign w:val="bottom"/>
          </w:tcPr>
          <w:p w14:paraId="563B27F4" w14:textId="77777777" w:rsidR="008F5DD2" w:rsidRPr="00350F72" w:rsidRDefault="008F5DD2" w:rsidP="008F5DD2">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-22%</w:t>
            </w:r>
          </w:p>
        </w:tc>
        <w:tc>
          <w:tcPr>
            <w:tcW w:w="1512" w:type="dxa"/>
            <w:tcBorders>
              <w:top w:val="single" w:sz="4" w:space="0" w:color="auto"/>
              <w:left w:val="single" w:sz="18" w:space="0" w:color="auto"/>
              <w:bottom w:val="single" w:sz="4" w:space="0" w:color="auto"/>
            </w:tcBorders>
            <w:shd w:val="clear" w:color="auto" w:fill="auto"/>
            <w:noWrap/>
            <w:vAlign w:val="bottom"/>
          </w:tcPr>
          <w:p w14:paraId="36788E83" w14:textId="77777777" w:rsidR="008F5DD2" w:rsidRPr="00350F72" w:rsidRDefault="008F5DD2" w:rsidP="008F5DD2">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+34%</w:t>
            </w:r>
          </w:p>
        </w:tc>
      </w:tr>
      <w:tr w:rsidR="008F5DD2" w:rsidRPr="00C67D1B" w14:paraId="5BB12CC8" w14:textId="77777777" w:rsidTr="00F0747B">
        <w:trPr>
          <w:trHeight w:val="272"/>
          <w:jc w:val="center"/>
        </w:trPr>
        <w:tc>
          <w:tcPr>
            <w:tcW w:w="2472" w:type="dxa"/>
            <w:tcBorders>
              <w:top w:val="single" w:sz="4" w:space="0" w:color="auto"/>
              <w:left w:val="nil"/>
              <w:bottom w:val="single" w:sz="18" w:space="0" w:color="auto"/>
              <w:right w:val="single" w:sz="4" w:space="0" w:color="auto"/>
            </w:tcBorders>
            <w:shd w:val="clear" w:color="auto" w:fill="auto"/>
            <w:noWrap/>
            <w:vAlign w:val="bottom"/>
          </w:tcPr>
          <w:p w14:paraId="7F0E419D" w14:textId="76C02F97" w:rsidR="008F5DD2" w:rsidRPr="00350F72" w:rsidRDefault="008F5DD2" w:rsidP="008F5DD2">
            <w:pPr>
              <w:spacing w:after="0" w:line="240" w:lineRule="auto"/>
              <w:jc w:val="right"/>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Non-Māori/Non-Pacific</w:t>
            </w:r>
          </w:p>
        </w:tc>
        <w:tc>
          <w:tcPr>
            <w:tcW w:w="1100" w:type="dxa"/>
            <w:tcBorders>
              <w:top w:val="single" w:sz="4" w:space="0" w:color="auto"/>
              <w:left w:val="single" w:sz="4" w:space="0" w:color="auto"/>
              <w:bottom w:val="single" w:sz="18" w:space="0" w:color="auto"/>
            </w:tcBorders>
            <w:shd w:val="clear" w:color="auto" w:fill="auto"/>
            <w:noWrap/>
            <w:vAlign w:val="bottom"/>
          </w:tcPr>
          <w:p w14:paraId="60F81C25" w14:textId="77777777" w:rsidR="008F5DD2" w:rsidRPr="00350F72" w:rsidRDefault="008F5DD2" w:rsidP="008F5DD2">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-14%</w:t>
            </w:r>
          </w:p>
        </w:tc>
        <w:tc>
          <w:tcPr>
            <w:tcW w:w="1512" w:type="dxa"/>
            <w:tcBorders>
              <w:top w:val="single" w:sz="4" w:space="0" w:color="auto"/>
              <w:bottom w:val="single" w:sz="18" w:space="0" w:color="auto"/>
              <w:right w:val="single" w:sz="18" w:space="0" w:color="auto"/>
            </w:tcBorders>
            <w:shd w:val="clear" w:color="auto" w:fill="auto"/>
            <w:noWrap/>
            <w:vAlign w:val="bottom"/>
          </w:tcPr>
          <w:p w14:paraId="295C97E0" w14:textId="77777777" w:rsidR="008F5DD2" w:rsidRPr="00350F72" w:rsidRDefault="008F5DD2" w:rsidP="008F5DD2">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-40%</w:t>
            </w:r>
          </w:p>
        </w:tc>
        <w:tc>
          <w:tcPr>
            <w:tcW w:w="1512" w:type="dxa"/>
            <w:tcBorders>
              <w:top w:val="single" w:sz="4" w:space="0" w:color="auto"/>
              <w:left w:val="single" w:sz="18" w:space="0" w:color="auto"/>
              <w:bottom w:val="single" w:sz="18" w:space="0" w:color="auto"/>
            </w:tcBorders>
            <w:shd w:val="clear" w:color="auto" w:fill="auto"/>
            <w:noWrap/>
            <w:vAlign w:val="bottom"/>
          </w:tcPr>
          <w:p w14:paraId="603B3D72" w14:textId="77777777" w:rsidR="008F5DD2" w:rsidRPr="00350F72" w:rsidRDefault="008F5DD2" w:rsidP="008F5DD2">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-13%</w:t>
            </w:r>
          </w:p>
        </w:tc>
      </w:tr>
      <w:tr w:rsidR="008F5DD2" w14:paraId="48C68149" w14:textId="77777777" w:rsidTr="00F0747B">
        <w:trPr>
          <w:trHeight w:val="60"/>
          <w:jc w:val="center"/>
        </w:trPr>
        <w:tc>
          <w:tcPr>
            <w:tcW w:w="2472" w:type="dxa"/>
            <w:tcBorders>
              <w:top w:val="single" w:sz="18" w:space="0" w:color="auto"/>
              <w:left w:val="nil"/>
              <w:bottom w:val="single" w:sz="4" w:space="0" w:color="auto"/>
              <w:right w:val="single" w:sz="4" w:space="0" w:color="auto"/>
            </w:tcBorders>
            <w:shd w:val="clear" w:color="auto" w:fill="auto"/>
            <w:noWrap/>
            <w:vAlign w:val="bottom"/>
          </w:tcPr>
          <w:p w14:paraId="370FE3DA" w14:textId="4E478203" w:rsidR="008F5DD2" w:rsidRPr="00350F72" w:rsidRDefault="008F5DD2" w:rsidP="008F5DD2">
            <w:pPr>
              <w:spacing w:after="0" w:line="240" w:lineRule="auto"/>
              <w:jc w:val="right"/>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Total</w:t>
            </w:r>
            <w:r w:rsidR="001A1264" w:rsidRPr="00350F72">
              <w:rPr>
                <w:rFonts w:ascii="Calibri" w:eastAsia="Times New Roman" w:hAnsi="Calibri" w:cs="Times New Roman"/>
                <w:color w:val="000000"/>
                <w:sz w:val="20"/>
                <w:lang w:eastAsia="en-NZ"/>
              </w:rPr>
              <w:t xml:space="preserve"> Population</w:t>
            </w:r>
          </w:p>
        </w:tc>
        <w:tc>
          <w:tcPr>
            <w:tcW w:w="1100" w:type="dxa"/>
            <w:tcBorders>
              <w:top w:val="single" w:sz="18" w:space="0" w:color="auto"/>
              <w:left w:val="single" w:sz="4" w:space="0" w:color="auto"/>
              <w:bottom w:val="single" w:sz="4" w:space="0" w:color="auto"/>
            </w:tcBorders>
            <w:shd w:val="clear" w:color="auto" w:fill="auto"/>
            <w:noWrap/>
            <w:vAlign w:val="bottom"/>
          </w:tcPr>
          <w:p w14:paraId="77A4EAF3" w14:textId="77777777" w:rsidR="008F5DD2" w:rsidRPr="00350F72" w:rsidRDefault="008F5DD2" w:rsidP="008F5DD2">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-6%</w:t>
            </w:r>
          </w:p>
        </w:tc>
        <w:tc>
          <w:tcPr>
            <w:tcW w:w="1512" w:type="dxa"/>
            <w:tcBorders>
              <w:top w:val="single" w:sz="18" w:space="0" w:color="auto"/>
              <w:bottom w:val="single" w:sz="4" w:space="0" w:color="auto"/>
              <w:right w:val="single" w:sz="18" w:space="0" w:color="auto"/>
            </w:tcBorders>
            <w:shd w:val="clear" w:color="auto" w:fill="auto"/>
            <w:noWrap/>
            <w:vAlign w:val="bottom"/>
          </w:tcPr>
          <w:p w14:paraId="0CD6546E" w14:textId="77777777" w:rsidR="008F5DD2" w:rsidRPr="00350F72" w:rsidRDefault="008F5DD2" w:rsidP="008F5DD2">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-40%</w:t>
            </w:r>
          </w:p>
        </w:tc>
        <w:tc>
          <w:tcPr>
            <w:tcW w:w="1512" w:type="dxa"/>
            <w:tcBorders>
              <w:top w:val="single" w:sz="18" w:space="0" w:color="auto"/>
              <w:left w:val="single" w:sz="18" w:space="0" w:color="auto"/>
              <w:bottom w:val="single" w:sz="4" w:space="0" w:color="auto"/>
            </w:tcBorders>
            <w:shd w:val="clear" w:color="auto" w:fill="auto"/>
            <w:noWrap/>
            <w:vAlign w:val="bottom"/>
          </w:tcPr>
          <w:p w14:paraId="1571C606" w14:textId="77777777" w:rsidR="008F5DD2" w:rsidRPr="00350F72" w:rsidRDefault="008F5DD2" w:rsidP="008F5DD2">
            <w:pPr>
              <w:keepNext/>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-9%</w:t>
            </w:r>
          </w:p>
        </w:tc>
      </w:tr>
    </w:tbl>
    <w:p w14:paraId="025AB4B3" w14:textId="7A6BBB06" w:rsidR="008F5DD2" w:rsidRPr="00F7692E" w:rsidRDefault="008F5DD2" w:rsidP="008F5DD2">
      <w:pPr>
        <w:pStyle w:val="Caption"/>
        <w:jc w:val="center"/>
      </w:pPr>
    </w:p>
    <w:p w14:paraId="0CE291CC" w14:textId="7DEABB26" w:rsidR="008B113E" w:rsidRDefault="008B113E" w:rsidP="008B113E">
      <w:pPr>
        <w:pStyle w:val="Caption"/>
        <w:keepNext/>
      </w:pPr>
      <w:r>
        <w:t xml:space="preserve">Figure </w:t>
      </w:r>
      <w:fldSimple w:instr=" SEQ Figure \* ARABIC ">
        <w:r w:rsidR="00CC108E">
          <w:rPr>
            <w:noProof/>
          </w:rPr>
          <w:t>12</w:t>
        </w:r>
      </w:fldSimple>
      <w:r>
        <w:t xml:space="preserve">: </w:t>
      </w:r>
      <w:r w:rsidRPr="00FD4C15">
        <w:t xml:space="preserve">Number of curative </w:t>
      </w:r>
      <w:r>
        <w:t xml:space="preserve">colorectal </w:t>
      </w:r>
      <w:r w:rsidRPr="00FD4C15">
        <w:t>cancer surgeries by month and year, for the total population (left) and for Māori (right)</w:t>
      </w:r>
    </w:p>
    <w:p w14:paraId="0F05AB75" w14:textId="77777777" w:rsidR="008B113E" w:rsidRDefault="008F5DD2" w:rsidP="008F5DD2">
      <w:r>
        <w:rPr>
          <w:noProof/>
        </w:rPr>
        <w:drawing>
          <wp:inline distT="0" distB="0" distL="0" distR="0" wp14:anchorId="2AD18B8C" wp14:editId="503DB2B7">
            <wp:extent cx="3116580" cy="2484408"/>
            <wp:effectExtent l="0" t="0" r="7620" b="11430"/>
            <wp:docPr id="41" name="Chart 41">
              <a:extLst xmlns:a="http://schemas.openxmlformats.org/drawingml/2006/main">
                <a:ext uri="{FF2B5EF4-FFF2-40B4-BE49-F238E27FC236}">
                  <a16:creationId xmlns:a16="http://schemas.microsoft.com/office/drawing/2014/main" id="{D88AFEA3-5093-4B52-8980-AA96E355BF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noProof/>
        </w:rPr>
        <w:drawing>
          <wp:inline distT="0" distB="0" distL="0" distR="0" wp14:anchorId="010979FC" wp14:editId="04FDB48E">
            <wp:extent cx="3068955" cy="2486025"/>
            <wp:effectExtent l="0" t="0" r="17145" b="9525"/>
            <wp:docPr id="42" name="Chart 42">
              <a:extLst xmlns:a="http://schemas.openxmlformats.org/drawingml/2006/main">
                <a:ext uri="{FF2B5EF4-FFF2-40B4-BE49-F238E27FC236}">
                  <a16:creationId xmlns:a16="http://schemas.microsoft.com/office/drawing/2014/main" id="{0AD7D8F5-3CCA-4088-AC55-CA86B07490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78F4EEA" w14:textId="2D66D44E" w:rsidR="008B113E" w:rsidRPr="008B113E" w:rsidRDefault="008B113E" w:rsidP="008B113E">
      <w:pPr>
        <w:pStyle w:val="Caption"/>
        <w:keepNext/>
        <w:rPr>
          <w:b w:val="0"/>
        </w:rPr>
      </w:pPr>
      <w:bookmarkStart w:id="33" w:name="_Ref41423549"/>
      <w:r>
        <w:t xml:space="preserve">Figure </w:t>
      </w:r>
      <w:fldSimple w:instr=" SEQ Figure \* ARABIC ">
        <w:r w:rsidR="00CC108E">
          <w:rPr>
            <w:noProof/>
          </w:rPr>
          <w:t>13</w:t>
        </w:r>
      </w:fldSimple>
      <w:bookmarkEnd w:id="33"/>
      <w:r>
        <w:t>:</w:t>
      </w:r>
      <w:r w:rsidRPr="008B113E">
        <w:t xml:space="preserve"> </w:t>
      </w:r>
      <w:r>
        <w:t>Cumulative number of curative colorectal cancer surgeries by year, for the total population (left) and for Māori (right)</w:t>
      </w:r>
    </w:p>
    <w:p w14:paraId="732A80A5" w14:textId="478D33B6" w:rsidR="008F5DD2" w:rsidRDefault="008F5DD2" w:rsidP="008F5DD2">
      <w:r>
        <w:rPr>
          <w:noProof/>
        </w:rPr>
        <w:drawing>
          <wp:inline distT="0" distB="0" distL="0" distR="0" wp14:anchorId="10534E09" wp14:editId="2C2DAECC">
            <wp:extent cx="3116580" cy="3076575"/>
            <wp:effectExtent l="0" t="0" r="7620" b="9525"/>
            <wp:docPr id="44" name="Chart 44">
              <a:extLst xmlns:a="http://schemas.openxmlformats.org/drawingml/2006/main">
                <a:ext uri="{FF2B5EF4-FFF2-40B4-BE49-F238E27FC236}">
                  <a16:creationId xmlns:a16="http://schemas.microsoft.com/office/drawing/2014/main" id="{CBBD016C-27FC-4664-8B01-20C3639112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noProof/>
        </w:rPr>
        <w:drawing>
          <wp:inline distT="0" distB="0" distL="0" distR="0" wp14:anchorId="0BA4ED0F" wp14:editId="26EE3FB4">
            <wp:extent cx="3068955" cy="3081020"/>
            <wp:effectExtent l="0" t="0" r="17145" b="5080"/>
            <wp:docPr id="45" name="Chart 45">
              <a:extLst xmlns:a="http://schemas.openxmlformats.org/drawingml/2006/main">
                <a:ext uri="{FF2B5EF4-FFF2-40B4-BE49-F238E27FC236}">
                  <a16:creationId xmlns:a16="http://schemas.microsoft.com/office/drawing/2014/main" id="{42664F39-F4C1-447E-9925-6E8CA3ABD0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0963B7E" w14:textId="2325DAF4" w:rsidR="008F5DD2" w:rsidRPr="0002467C" w:rsidRDefault="00964135" w:rsidP="008F5DD2">
      <w:r>
        <w:t xml:space="preserve">In general, people with colorectal cancer would expect to </w:t>
      </w:r>
      <w:r w:rsidR="004D60C0">
        <w:t>receive</w:t>
      </w:r>
      <w:r>
        <w:t xml:space="preserve"> surgery within a month of colonoscopy. </w:t>
      </w:r>
      <w:r w:rsidR="004D60C0">
        <w:fldChar w:fldCharType="begin"/>
      </w:r>
      <w:r w:rsidR="004D60C0">
        <w:instrText xml:space="preserve"> REF _Ref41423309 \h </w:instrText>
      </w:r>
      <w:r w:rsidR="004D60C0">
        <w:fldChar w:fldCharType="separate"/>
      </w:r>
      <w:r w:rsidR="00CC108E">
        <w:t xml:space="preserve">Figure </w:t>
      </w:r>
      <w:r w:rsidR="00CC108E">
        <w:rPr>
          <w:noProof/>
        </w:rPr>
        <w:t>14</w:t>
      </w:r>
      <w:r w:rsidR="004D60C0">
        <w:fldChar w:fldCharType="end"/>
      </w:r>
      <w:r w:rsidR="004D60C0">
        <w:t xml:space="preserve"> </w:t>
      </w:r>
      <w:r w:rsidR="008B113E">
        <w:t xml:space="preserve">demonstrates </w:t>
      </w:r>
      <w:r w:rsidR="004D60C0">
        <w:t>the 3-week</w:t>
      </w:r>
      <w:r w:rsidR="008B113E">
        <w:t xml:space="preserve"> lag </w:t>
      </w:r>
      <w:r w:rsidR="004D60C0">
        <w:t xml:space="preserve">in the decrease in colorectal surgery following the decrease in colonoscopies. </w:t>
      </w:r>
    </w:p>
    <w:p w14:paraId="689BBAFE" w14:textId="2548518B" w:rsidR="004D60C0" w:rsidRDefault="004D60C0" w:rsidP="004D60C0">
      <w:pPr>
        <w:pStyle w:val="Caption"/>
        <w:keepNext/>
      </w:pPr>
      <w:bookmarkStart w:id="34" w:name="_Ref41423309"/>
      <w:r>
        <w:lastRenderedPageBreak/>
        <w:t xml:space="preserve">Figure </w:t>
      </w:r>
      <w:fldSimple w:instr=" SEQ Figure \* ARABIC ">
        <w:r w:rsidR="00CC108E">
          <w:rPr>
            <w:noProof/>
          </w:rPr>
          <w:t>14</w:t>
        </w:r>
      </w:fldSimple>
      <w:bookmarkEnd w:id="34"/>
      <w:r>
        <w:t>: Number of colonoscopies and colorectal surgeries performed in 2020 by week</w:t>
      </w:r>
    </w:p>
    <w:p w14:paraId="44147C96" w14:textId="4CA234F9" w:rsidR="008F5DD2" w:rsidRDefault="00D46F50" w:rsidP="0055119B">
      <w:pPr>
        <w:keepNext/>
        <w:jc w:val="center"/>
      </w:pPr>
      <w:r>
        <w:rPr>
          <w:noProof/>
        </w:rPr>
        <w:drawing>
          <wp:inline distT="0" distB="0" distL="0" distR="0" wp14:anchorId="05D72527" wp14:editId="2BFF0890">
            <wp:extent cx="5882640" cy="2596551"/>
            <wp:effectExtent l="0" t="0" r="3810" b="13335"/>
            <wp:docPr id="88" name="Chart 88">
              <a:extLst xmlns:a="http://schemas.openxmlformats.org/drawingml/2006/main">
                <a:ext uri="{FF2B5EF4-FFF2-40B4-BE49-F238E27FC236}">
                  <a16:creationId xmlns:a16="http://schemas.microsoft.com/office/drawing/2014/main" id="{BC43B2D4-A3E9-4C68-B857-8F4B681A2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E154B73" w14:textId="77777777" w:rsidR="0076192F" w:rsidRDefault="0076192F" w:rsidP="0076192F">
      <w:pPr>
        <w:pStyle w:val="Heading2"/>
      </w:pPr>
      <w:r>
        <w:t>Key points</w:t>
      </w:r>
    </w:p>
    <w:p w14:paraId="01FC5286" w14:textId="77777777" w:rsidR="0076192F" w:rsidRDefault="0076192F" w:rsidP="0076192F">
      <w:pPr>
        <w:pStyle w:val="ListParagraph"/>
        <w:numPr>
          <w:ilvl w:val="0"/>
          <w:numId w:val="35"/>
        </w:numPr>
      </w:pPr>
      <w:r>
        <w:t xml:space="preserve">There was a decrease in colorectal surgery during lockdown, this has led to an overall 9% decrease in colorectal surgery for the year to date. </w:t>
      </w:r>
    </w:p>
    <w:p w14:paraId="47F686B1" w14:textId="1D7879CF" w:rsidR="0076192F" w:rsidRDefault="0076192F" w:rsidP="0076192F">
      <w:pPr>
        <w:pStyle w:val="ListParagraph"/>
        <w:numPr>
          <w:ilvl w:val="0"/>
          <w:numId w:val="35"/>
        </w:numPr>
      </w:pPr>
      <w:r>
        <w:t>During April there was a smaller decrease for Māori (-22%) than for non-Māori/non-Pacific (-40%). There has been an overall 34%</w:t>
      </w:r>
      <w:r w:rsidRPr="00AB5BEA">
        <w:rPr>
          <w:b/>
        </w:rPr>
        <w:t xml:space="preserve"> </w:t>
      </w:r>
      <w:r w:rsidRPr="00AB5BEA">
        <w:t>increase</w:t>
      </w:r>
      <w:r>
        <w:t xml:space="preserve"> in curative colorectal cancer surgery for Māori for the year to date</w:t>
      </w:r>
      <w:r w:rsidR="0055119B">
        <w:t xml:space="preserve"> compared to the same time period in 2019.</w:t>
      </w:r>
      <w:r>
        <w:t xml:space="preserve"> </w:t>
      </w:r>
    </w:p>
    <w:p w14:paraId="579A0DFE" w14:textId="164FDD8B" w:rsidR="0076192F" w:rsidRDefault="002E4BDF" w:rsidP="002E4BDF">
      <w:pPr>
        <w:pStyle w:val="ListParagraph"/>
        <w:numPr>
          <w:ilvl w:val="0"/>
          <w:numId w:val="35"/>
        </w:numPr>
      </w:pPr>
      <w:r>
        <w:t>T</w:t>
      </w:r>
      <w:r w:rsidR="004D60C0">
        <w:t xml:space="preserve">he decrease in colorectal cancer </w:t>
      </w:r>
      <w:r>
        <w:t xml:space="preserve">surgeries is </w:t>
      </w:r>
      <w:r w:rsidR="004D60C0">
        <w:t xml:space="preserve">likely </w:t>
      </w:r>
      <w:r>
        <w:t xml:space="preserve">to be largely driven by the decline in diagnostic colonoscopies performed during lockdown. </w:t>
      </w:r>
    </w:p>
    <w:p w14:paraId="7CFFEB35" w14:textId="18D463FF" w:rsidR="008A634D" w:rsidRDefault="003608DC" w:rsidP="00E5629D">
      <w:pPr>
        <w:pStyle w:val="Heading1"/>
      </w:pPr>
      <w:bookmarkStart w:id="35" w:name="_Toc41410747"/>
      <w:bookmarkStart w:id="36" w:name="_Toc41474444"/>
      <w:r>
        <w:t>L</w:t>
      </w:r>
      <w:r w:rsidR="008A634D">
        <w:t>ung</w:t>
      </w:r>
      <w:r w:rsidR="007154D3">
        <w:t xml:space="preserve"> cancer</w:t>
      </w:r>
      <w:r w:rsidR="008A634D">
        <w:t xml:space="preserve"> surgery</w:t>
      </w:r>
      <w:bookmarkEnd w:id="35"/>
      <w:bookmarkEnd w:id="36"/>
    </w:p>
    <w:p w14:paraId="68B0F6BC" w14:textId="3FD41DC9" w:rsidR="00862072" w:rsidRDefault="00862072" w:rsidP="00862072">
      <w:pPr>
        <w:pStyle w:val="Heading2"/>
      </w:pPr>
      <w:r>
        <w:t>Notes on data</w:t>
      </w:r>
    </w:p>
    <w:p w14:paraId="35AAD7A3" w14:textId="77777777" w:rsidR="002E4BDF" w:rsidRDefault="002E4BDF" w:rsidP="002E4BDF">
      <w:pPr>
        <w:pStyle w:val="ListParagraph"/>
        <w:numPr>
          <w:ilvl w:val="0"/>
          <w:numId w:val="12"/>
        </w:numPr>
      </w:pPr>
      <w:r>
        <w:t>A list of the surgical procedure codes used for analysis are included in Appendix 3.</w:t>
      </w:r>
    </w:p>
    <w:p w14:paraId="761F456E" w14:textId="1856CC7E" w:rsidR="002E4BDF" w:rsidRDefault="002E4BDF" w:rsidP="002E4BDF">
      <w:pPr>
        <w:pStyle w:val="ListParagraph"/>
        <w:numPr>
          <w:ilvl w:val="0"/>
          <w:numId w:val="12"/>
        </w:numPr>
      </w:pPr>
      <w:r>
        <w:t xml:space="preserve">The data </w:t>
      </w:r>
      <w:r w:rsidR="00AF5658">
        <w:t xml:space="preserve">were </w:t>
      </w:r>
      <w:r>
        <w:t xml:space="preserve">extracted from the National Minimum Dataset on 21 May 2020. </w:t>
      </w:r>
    </w:p>
    <w:p w14:paraId="523C94F9" w14:textId="194FAC19" w:rsidR="007322E4" w:rsidRDefault="002E4BDF" w:rsidP="00862072">
      <w:pPr>
        <w:pStyle w:val="ListParagraph"/>
        <w:numPr>
          <w:ilvl w:val="0"/>
          <w:numId w:val="12"/>
        </w:numPr>
      </w:pPr>
      <w:r>
        <w:t>The number of lung cancer surgeries performed each month is relatively small</w:t>
      </w:r>
      <w:r w:rsidR="009B2F1F">
        <w:t xml:space="preserve">, so </w:t>
      </w:r>
      <w:r w:rsidR="00AB5BEA">
        <w:t xml:space="preserve">caution is needed when comparing data by month. </w:t>
      </w:r>
    </w:p>
    <w:p w14:paraId="47878AB3" w14:textId="09213739" w:rsidR="00862072" w:rsidRDefault="00862072" w:rsidP="00862072">
      <w:pPr>
        <w:pStyle w:val="Heading2"/>
      </w:pPr>
      <w:r>
        <w:t>Results</w:t>
      </w:r>
    </w:p>
    <w:p w14:paraId="5A503044" w14:textId="630EC85E" w:rsidR="007B267C" w:rsidRPr="007B267C" w:rsidRDefault="009B2F1F" w:rsidP="007B267C">
      <w:r>
        <w:fldChar w:fldCharType="begin"/>
      </w:r>
      <w:r>
        <w:instrText xml:space="preserve"> REF _Ref41424485 \h </w:instrText>
      </w:r>
      <w:r>
        <w:fldChar w:fldCharType="separate"/>
      </w:r>
      <w:r w:rsidR="00CC108E">
        <w:t xml:space="preserve">Table </w:t>
      </w:r>
      <w:r w:rsidR="00CC108E">
        <w:rPr>
          <w:noProof/>
        </w:rPr>
        <w:t>8</w:t>
      </w:r>
      <w:r>
        <w:fldChar w:fldCharType="end"/>
      </w:r>
      <w:r>
        <w:t xml:space="preserve"> </w:t>
      </w:r>
      <w:r w:rsidR="007B267C">
        <w:t xml:space="preserve">shows </w:t>
      </w:r>
      <w:r>
        <w:t xml:space="preserve">a reduction in the total number of </w:t>
      </w:r>
      <w:r w:rsidR="007B267C">
        <w:t>curative lung cancer surger</w:t>
      </w:r>
      <w:r>
        <w:t xml:space="preserve">ies performed </w:t>
      </w:r>
      <w:r w:rsidR="007B267C">
        <w:t xml:space="preserve">in 2020 compared to 2019. </w:t>
      </w:r>
      <w:r w:rsidR="008F2A3F">
        <w:t xml:space="preserve">Due to small numbers, this is only presented for the total population. </w:t>
      </w:r>
      <w:r w:rsidR="008F2A3F">
        <w:fldChar w:fldCharType="begin"/>
      </w:r>
      <w:r w:rsidR="008F2A3F">
        <w:instrText xml:space="preserve"> REF _Ref41425109 \h </w:instrText>
      </w:r>
      <w:r w:rsidR="008F2A3F">
        <w:fldChar w:fldCharType="separate"/>
      </w:r>
      <w:r w:rsidR="00CC108E">
        <w:t xml:space="preserve">Figure </w:t>
      </w:r>
      <w:r w:rsidR="00CC108E">
        <w:rPr>
          <w:noProof/>
        </w:rPr>
        <w:t>16</w:t>
      </w:r>
      <w:r w:rsidR="008F2A3F">
        <w:fldChar w:fldCharType="end"/>
      </w:r>
      <w:r w:rsidR="008F2A3F">
        <w:t xml:space="preserve"> shows that the reduction in lung cancer surgeries began prior to lockdown, and the cumulative impact of this has been greater for Māori than for the total population. </w:t>
      </w:r>
    </w:p>
    <w:p w14:paraId="1427E310" w14:textId="53A40A96" w:rsidR="009B2F1F" w:rsidRDefault="009B2F1F" w:rsidP="009B2F1F">
      <w:pPr>
        <w:pStyle w:val="Caption"/>
        <w:keepNext/>
      </w:pPr>
      <w:bookmarkStart w:id="37" w:name="_Ref41424485"/>
      <w:r>
        <w:t xml:space="preserve">Table </w:t>
      </w:r>
      <w:fldSimple w:instr=" SEQ Table \* ARABIC ">
        <w:r w:rsidR="00CC108E">
          <w:rPr>
            <w:noProof/>
          </w:rPr>
          <w:t>8</w:t>
        </w:r>
      </w:fldSimple>
      <w:bookmarkEnd w:id="37"/>
      <w:r>
        <w:t xml:space="preserve">: </w:t>
      </w:r>
      <w:r w:rsidRPr="00700908">
        <w:t>Percentage change</w:t>
      </w:r>
      <w:r>
        <w:t xml:space="preserve"> in</w:t>
      </w:r>
      <w:r w:rsidRPr="00700908">
        <w:t xml:space="preserve"> curative </w:t>
      </w:r>
      <w:r>
        <w:t>lung cancer</w:t>
      </w:r>
      <w:r w:rsidRPr="00700908">
        <w:t xml:space="preserve"> surgery in 2020 compared to 2019 by month, and cumulative year to date</w:t>
      </w:r>
      <w:r>
        <w:t>.</w:t>
      </w:r>
    </w:p>
    <w:tbl>
      <w:tblPr>
        <w:tblW w:w="6564" w:type="dxa"/>
        <w:jc w:val="center"/>
        <w:tblLook w:val="04A0" w:firstRow="1" w:lastRow="0" w:firstColumn="1" w:lastColumn="0" w:noHBand="0" w:noVBand="1"/>
      </w:tblPr>
      <w:tblGrid>
        <w:gridCol w:w="2459"/>
        <w:gridCol w:w="1095"/>
        <w:gridCol w:w="1505"/>
        <w:gridCol w:w="1505"/>
      </w:tblGrid>
      <w:tr w:rsidR="00511614" w:rsidRPr="00350F72" w14:paraId="2DBA8C41" w14:textId="77777777" w:rsidTr="00E17C67">
        <w:trPr>
          <w:trHeight w:val="277"/>
          <w:jc w:val="center"/>
        </w:trPr>
        <w:tc>
          <w:tcPr>
            <w:tcW w:w="2459" w:type="dxa"/>
            <w:tcBorders>
              <w:top w:val="nil"/>
              <w:left w:val="nil"/>
              <w:bottom w:val="single" w:sz="4" w:space="0" w:color="auto"/>
              <w:right w:val="single" w:sz="4" w:space="0" w:color="auto"/>
            </w:tcBorders>
            <w:shd w:val="clear" w:color="auto" w:fill="auto"/>
            <w:noWrap/>
            <w:vAlign w:val="bottom"/>
          </w:tcPr>
          <w:p w14:paraId="41AE9EF6" w14:textId="77777777" w:rsidR="00511614" w:rsidRPr="00350F72" w:rsidRDefault="00511614" w:rsidP="00511614">
            <w:pPr>
              <w:spacing w:after="0" w:line="240" w:lineRule="auto"/>
              <w:rPr>
                <w:rFonts w:ascii="Calibri" w:eastAsia="Times New Roman" w:hAnsi="Calibri" w:cs="Times New Roman"/>
                <w:color w:val="000000"/>
                <w:sz w:val="20"/>
                <w:lang w:eastAsia="en-NZ"/>
              </w:rPr>
            </w:pPr>
          </w:p>
        </w:tc>
        <w:tc>
          <w:tcPr>
            <w:tcW w:w="1095" w:type="dxa"/>
            <w:tcBorders>
              <w:left w:val="single" w:sz="4" w:space="0" w:color="auto"/>
              <w:bottom w:val="single" w:sz="4" w:space="0" w:color="auto"/>
            </w:tcBorders>
            <w:shd w:val="clear" w:color="auto" w:fill="auto"/>
            <w:noWrap/>
            <w:vAlign w:val="bottom"/>
          </w:tcPr>
          <w:p w14:paraId="63150800" w14:textId="77777777" w:rsidR="00511614" w:rsidRPr="00350F72" w:rsidRDefault="00511614" w:rsidP="00884108">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March</w:t>
            </w:r>
          </w:p>
        </w:tc>
        <w:tc>
          <w:tcPr>
            <w:tcW w:w="1505" w:type="dxa"/>
            <w:tcBorders>
              <w:bottom w:val="single" w:sz="4" w:space="0" w:color="auto"/>
              <w:right w:val="single" w:sz="18" w:space="0" w:color="auto"/>
            </w:tcBorders>
            <w:shd w:val="clear" w:color="auto" w:fill="auto"/>
            <w:noWrap/>
            <w:vAlign w:val="bottom"/>
          </w:tcPr>
          <w:p w14:paraId="38E0D087" w14:textId="77777777" w:rsidR="00511614" w:rsidRPr="00350F72" w:rsidRDefault="00511614" w:rsidP="00884108">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April</w:t>
            </w:r>
          </w:p>
        </w:tc>
        <w:tc>
          <w:tcPr>
            <w:tcW w:w="1505" w:type="dxa"/>
            <w:tcBorders>
              <w:left w:val="single" w:sz="18" w:space="0" w:color="auto"/>
              <w:bottom w:val="single" w:sz="4" w:space="0" w:color="auto"/>
            </w:tcBorders>
            <w:shd w:val="clear" w:color="auto" w:fill="auto"/>
            <w:noWrap/>
            <w:vAlign w:val="bottom"/>
          </w:tcPr>
          <w:p w14:paraId="23AC8D6E" w14:textId="77777777" w:rsidR="00511614" w:rsidRPr="00350F72" w:rsidRDefault="00511614" w:rsidP="00884108">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YTD</w:t>
            </w:r>
          </w:p>
        </w:tc>
      </w:tr>
      <w:tr w:rsidR="00F7692E" w:rsidRPr="00350F72" w14:paraId="664C5C3F" w14:textId="77777777" w:rsidTr="00E17C67">
        <w:trPr>
          <w:trHeight w:val="277"/>
          <w:jc w:val="center"/>
        </w:trPr>
        <w:tc>
          <w:tcPr>
            <w:tcW w:w="2459" w:type="dxa"/>
            <w:tcBorders>
              <w:top w:val="single" w:sz="4" w:space="0" w:color="auto"/>
              <w:left w:val="nil"/>
              <w:bottom w:val="single" w:sz="4" w:space="0" w:color="auto"/>
              <w:right w:val="single" w:sz="4" w:space="0" w:color="auto"/>
            </w:tcBorders>
            <w:shd w:val="clear" w:color="auto" w:fill="auto"/>
            <w:noWrap/>
            <w:vAlign w:val="bottom"/>
            <w:hideMark/>
          </w:tcPr>
          <w:p w14:paraId="03A0E4CD" w14:textId="3C21084D" w:rsidR="00F7692E" w:rsidRPr="00350F72" w:rsidRDefault="00F7692E" w:rsidP="007B267C">
            <w:pPr>
              <w:spacing w:after="0" w:line="240" w:lineRule="auto"/>
              <w:jc w:val="right"/>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Total</w:t>
            </w:r>
            <w:r w:rsidR="001A1264" w:rsidRPr="00350F72">
              <w:rPr>
                <w:rFonts w:ascii="Calibri" w:eastAsia="Times New Roman" w:hAnsi="Calibri" w:cs="Times New Roman"/>
                <w:color w:val="000000"/>
                <w:sz w:val="20"/>
                <w:lang w:eastAsia="en-NZ"/>
              </w:rPr>
              <w:t xml:space="preserve"> Population</w:t>
            </w:r>
            <w:r w:rsidR="00AB5BEA">
              <w:rPr>
                <w:rFonts w:ascii="Calibri" w:eastAsia="Times New Roman" w:hAnsi="Calibri" w:cs="Times New Roman"/>
                <w:color w:val="000000"/>
                <w:sz w:val="20"/>
                <w:lang w:eastAsia="en-NZ"/>
              </w:rPr>
              <w:t>*</w:t>
            </w:r>
            <w:r w:rsidRPr="00350F72">
              <w:rPr>
                <w:rFonts w:ascii="Calibri" w:eastAsia="Times New Roman" w:hAnsi="Calibri" w:cs="Times New Roman"/>
                <w:color w:val="000000"/>
                <w:sz w:val="20"/>
                <w:lang w:eastAsia="en-NZ"/>
              </w:rPr>
              <w:t xml:space="preserve"> </w:t>
            </w:r>
          </w:p>
        </w:tc>
        <w:tc>
          <w:tcPr>
            <w:tcW w:w="1095" w:type="dxa"/>
            <w:tcBorders>
              <w:top w:val="single" w:sz="4" w:space="0" w:color="auto"/>
              <w:left w:val="single" w:sz="4" w:space="0" w:color="auto"/>
              <w:bottom w:val="single" w:sz="4" w:space="0" w:color="auto"/>
            </w:tcBorders>
            <w:shd w:val="clear" w:color="auto" w:fill="auto"/>
            <w:noWrap/>
            <w:vAlign w:val="bottom"/>
          </w:tcPr>
          <w:p w14:paraId="4E763D53" w14:textId="77777777" w:rsidR="00F7692E" w:rsidRPr="00350F72" w:rsidRDefault="00F7692E" w:rsidP="00884108">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-24%</w:t>
            </w:r>
          </w:p>
        </w:tc>
        <w:tc>
          <w:tcPr>
            <w:tcW w:w="1505" w:type="dxa"/>
            <w:tcBorders>
              <w:top w:val="single" w:sz="4" w:space="0" w:color="auto"/>
              <w:bottom w:val="single" w:sz="4" w:space="0" w:color="auto"/>
              <w:right w:val="single" w:sz="18" w:space="0" w:color="auto"/>
            </w:tcBorders>
            <w:shd w:val="clear" w:color="auto" w:fill="auto"/>
            <w:noWrap/>
            <w:vAlign w:val="bottom"/>
          </w:tcPr>
          <w:p w14:paraId="291B837A" w14:textId="77777777" w:rsidR="00F7692E" w:rsidRPr="00350F72" w:rsidRDefault="00F7692E" w:rsidP="00884108">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-15%</w:t>
            </w:r>
          </w:p>
        </w:tc>
        <w:tc>
          <w:tcPr>
            <w:tcW w:w="1505" w:type="dxa"/>
            <w:tcBorders>
              <w:top w:val="single" w:sz="4" w:space="0" w:color="auto"/>
              <w:left w:val="single" w:sz="18" w:space="0" w:color="auto"/>
              <w:bottom w:val="single" w:sz="4" w:space="0" w:color="auto"/>
            </w:tcBorders>
            <w:shd w:val="clear" w:color="auto" w:fill="auto"/>
            <w:noWrap/>
            <w:vAlign w:val="bottom"/>
          </w:tcPr>
          <w:p w14:paraId="1F8FAF7F" w14:textId="77777777" w:rsidR="00F7692E" w:rsidRPr="00350F72" w:rsidRDefault="00F7692E" w:rsidP="00884108">
            <w:pPr>
              <w:keepNext/>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-19%</w:t>
            </w:r>
          </w:p>
        </w:tc>
      </w:tr>
    </w:tbl>
    <w:p w14:paraId="0FD6BD18" w14:textId="067A74FB" w:rsidR="00AB5BEA" w:rsidRPr="00AB5BEA" w:rsidRDefault="00AB5BEA" w:rsidP="00AB5BEA">
      <w:pPr>
        <w:rPr>
          <w:noProof/>
          <w:sz w:val="18"/>
        </w:rPr>
      </w:pPr>
      <w:r w:rsidRPr="00AB5BEA">
        <w:rPr>
          <w:noProof/>
          <w:sz w:val="18"/>
        </w:rPr>
        <w:t>*Due to the small number of surguries performed each</w:t>
      </w:r>
      <w:r>
        <w:rPr>
          <w:noProof/>
          <w:sz w:val="18"/>
        </w:rPr>
        <w:t xml:space="preserve"> month</w:t>
      </w:r>
      <w:r w:rsidRPr="00AB5BEA">
        <w:rPr>
          <w:noProof/>
          <w:sz w:val="18"/>
        </w:rPr>
        <w:t xml:space="preserve"> calculations have only been included for the total population rather than by ethnicity</w:t>
      </w:r>
    </w:p>
    <w:p w14:paraId="2D8526AA" w14:textId="0CBF9C78" w:rsidR="009B2F1F" w:rsidRDefault="009B2F1F" w:rsidP="009B2F1F">
      <w:pPr>
        <w:pStyle w:val="Caption"/>
        <w:keepNext/>
      </w:pPr>
      <w:r>
        <w:lastRenderedPageBreak/>
        <w:t xml:space="preserve">Figure </w:t>
      </w:r>
      <w:fldSimple w:instr=" SEQ Figure \* ARABIC ">
        <w:r w:rsidR="00CC108E">
          <w:rPr>
            <w:noProof/>
          </w:rPr>
          <w:t>15</w:t>
        </w:r>
      </w:fldSimple>
      <w:r>
        <w:t xml:space="preserve">: </w:t>
      </w:r>
      <w:r w:rsidRPr="00FD4C15">
        <w:t xml:space="preserve">Number of curative </w:t>
      </w:r>
      <w:r>
        <w:t xml:space="preserve">lung </w:t>
      </w:r>
      <w:r w:rsidRPr="00FD4C15">
        <w:t>cancer surgeries by month and year, total population (left) and for Māori (right)</w:t>
      </w:r>
    </w:p>
    <w:p w14:paraId="5E098720" w14:textId="267FF451" w:rsidR="009B2F1F" w:rsidRDefault="002E4BDF" w:rsidP="009B2F1F">
      <w:pPr>
        <w:rPr>
          <w:noProof/>
        </w:rPr>
      </w:pPr>
      <w:r>
        <w:rPr>
          <w:noProof/>
        </w:rPr>
        <w:drawing>
          <wp:inline distT="0" distB="0" distL="0" distR="0" wp14:anchorId="78C77170" wp14:editId="6A9E8045">
            <wp:extent cx="3105150" cy="2638425"/>
            <wp:effectExtent l="0" t="0" r="0" b="9525"/>
            <wp:docPr id="21" name="Chart 21">
              <a:extLst xmlns:a="http://schemas.openxmlformats.org/drawingml/2006/main">
                <a:ext uri="{FF2B5EF4-FFF2-40B4-BE49-F238E27FC236}">
                  <a16:creationId xmlns:a16="http://schemas.microsoft.com/office/drawing/2014/main" id="{FA2DF75E-E467-4C8B-87B6-5473A438E6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9B2F1F">
        <w:rPr>
          <w:noProof/>
        </w:rPr>
        <w:drawing>
          <wp:inline distT="0" distB="0" distL="0" distR="0" wp14:anchorId="1C58CA3C" wp14:editId="373C7C79">
            <wp:extent cx="3084830" cy="2647950"/>
            <wp:effectExtent l="0" t="0" r="1270" b="0"/>
            <wp:docPr id="25" name="Chart 25">
              <a:extLst xmlns:a="http://schemas.openxmlformats.org/drawingml/2006/main">
                <a:ext uri="{FF2B5EF4-FFF2-40B4-BE49-F238E27FC236}">
                  <a16:creationId xmlns:a16="http://schemas.microsoft.com/office/drawing/2014/main" id="{9C45E91B-067D-4130-B515-929767ADF6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511614" w:rsidRPr="00511614">
        <w:rPr>
          <w:noProof/>
        </w:rPr>
        <w:t xml:space="preserve"> </w:t>
      </w:r>
    </w:p>
    <w:p w14:paraId="63CCBC79" w14:textId="72E3C158" w:rsidR="00482B48" w:rsidRDefault="00482B48" w:rsidP="00482B48">
      <w:pPr>
        <w:rPr>
          <w:noProof/>
        </w:rPr>
      </w:pPr>
      <w:r>
        <w:rPr>
          <w:noProof/>
        </w:rPr>
        <w:t xml:space="preserve">*Due to the small number of surguries performed each month it is not possible to draw conclusions from small changes between months. </w:t>
      </w:r>
    </w:p>
    <w:p w14:paraId="29781B70" w14:textId="5A17D2DC" w:rsidR="009B2F1F" w:rsidRDefault="009B2F1F" w:rsidP="009B2F1F">
      <w:pPr>
        <w:pStyle w:val="Caption"/>
        <w:keepNext/>
      </w:pPr>
      <w:bookmarkStart w:id="38" w:name="_Ref41425109"/>
      <w:r>
        <w:t xml:space="preserve">Figure </w:t>
      </w:r>
      <w:fldSimple w:instr=" SEQ Figure \* ARABIC ">
        <w:r w:rsidR="00CC108E">
          <w:rPr>
            <w:noProof/>
          </w:rPr>
          <w:t>16</w:t>
        </w:r>
      </w:fldSimple>
      <w:bookmarkEnd w:id="38"/>
      <w:r>
        <w:t>:</w:t>
      </w:r>
      <w:r w:rsidRPr="009B2F1F">
        <w:t xml:space="preserve"> </w:t>
      </w:r>
      <w:r>
        <w:t>Cumulative number of curative lung cancer surgeries by year, for the total population (left) and for Māori (right)</w:t>
      </w:r>
    </w:p>
    <w:p w14:paraId="5AC516A5" w14:textId="71036CD0" w:rsidR="008A634D" w:rsidRDefault="00A73ED4">
      <w:pPr>
        <w:rPr>
          <w:noProof/>
        </w:rPr>
      </w:pPr>
      <w:r>
        <w:rPr>
          <w:noProof/>
        </w:rPr>
        <w:drawing>
          <wp:inline distT="0" distB="0" distL="0" distR="0" wp14:anchorId="71FCC93D" wp14:editId="4E92D940">
            <wp:extent cx="3105150" cy="2877820"/>
            <wp:effectExtent l="0" t="0" r="0" b="17780"/>
            <wp:docPr id="39" name="Chart 39">
              <a:extLst xmlns:a="http://schemas.openxmlformats.org/drawingml/2006/main">
                <a:ext uri="{FF2B5EF4-FFF2-40B4-BE49-F238E27FC236}">
                  <a16:creationId xmlns:a16="http://schemas.microsoft.com/office/drawing/2014/main" id="{F42611E1-B236-47A7-8CBF-DA8B06A51F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7B0F3F">
        <w:rPr>
          <w:noProof/>
        </w:rPr>
        <w:drawing>
          <wp:inline distT="0" distB="0" distL="0" distR="0" wp14:anchorId="7ACBF114" wp14:editId="7891B4B4">
            <wp:extent cx="3084830" cy="2878235"/>
            <wp:effectExtent l="0" t="0" r="1270" b="17780"/>
            <wp:docPr id="40" name="Chart 40">
              <a:extLst xmlns:a="http://schemas.openxmlformats.org/drawingml/2006/main">
                <a:ext uri="{FF2B5EF4-FFF2-40B4-BE49-F238E27FC236}">
                  <a16:creationId xmlns:a16="http://schemas.microsoft.com/office/drawing/2014/main" id="{0945F86D-0D53-4C1B-BC06-7DB46E73B7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0D844BB" w14:textId="68C0BF09" w:rsidR="005F3451" w:rsidRDefault="005F3451" w:rsidP="005F3451">
      <w:pPr>
        <w:pStyle w:val="Heading2"/>
      </w:pPr>
      <w:r>
        <w:t>Key points</w:t>
      </w:r>
    </w:p>
    <w:p w14:paraId="2E3290CA" w14:textId="77777777" w:rsidR="008F2A3F" w:rsidRPr="008F2A3F" w:rsidRDefault="00CA12EB" w:rsidP="008F2A3F">
      <w:pPr>
        <w:pStyle w:val="ListParagraph"/>
        <w:numPr>
          <w:ilvl w:val="0"/>
          <w:numId w:val="43"/>
        </w:numPr>
        <w:rPr>
          <w:rFonts w:asciiTheme="majorHAnsi" w:eastAsiaTheme="majorEastAsia" w:hAnsiTheme="majorHAnsi" w:cstheme="majorBidi"/>
          <w:sz w:val="26"/>
          <w:szCs w:val="26"/>
        </w:rPr>
      </w:pPr>
      <w:r w:rsidRPr="00023AB2">
        <w:t xml:space="preserve">There was a decrease in curative lung cancer surgery in April 2020 compared to April 2019. This contributed to a </w:t>
      </w:r>
      <w:r w:rsidR="00862072" w:rsidRPr="00023AB2">
        <w:t>substantial</w:t>
      </w:r>
      <w:r w:rsidR="00511614" w:rsidRPr="00023AB2">
        <w:t xml:space="preserve"> (19%) decrease in </w:t>
      </w:r>
      <w:r w:rsidR="00FE4438" w:rsidRPr="00023AB2">
        <w:t xml:space="preserve">curative </w:t>
      </w:r>
      <w:r w:rsidR="00511614" w:rsidRPr="00023AB2">
        <w:t xml:space="preserve">lung cancer surgeries in the first </w:t>
      </w:r>
      <w:r w:rsidR="00FE4438" w:rsidRPr="00023AB2">
        <w:t xml:space="preserve">four </w:t>
      </w:r>
      <w:r w:rsidR="00511614" w:rsidRPr="00023AB2">
        <w:t xml:space="preserve">months of 2020 compared to 2019. </w:t>
      </w:r>
    </w:p>
    <w:p w14:paraId="30A896B5" w14:textId="68C6D051" w:rsidR="007B267C" w:rsidRPr="008F2A3F" w:rsidRDefault="00CA12EB" w:rsidP="008F2A3F">
      <w:pPr>
        <w:pStyle w:val="ListParagraph"/>
        <w:numPr>
          <w:ilvl w:val="0"/>
          <w:numId w:val="43"/>
        </w:numPr>
        <w:rPr>
          <w:rFonts w:asciiTheme="majorHAnsi" w:eastAsiaTheme="majorEastAsia" w:hAnsiTheme="majorHAnsi" w:cstheme="majorBidi"/>
          <w:sz w:val="26"/>
          <w:szCs w:val="26"/>
        </w:rPr>
      </w:pPr>
      <w:r w:rsidRPr="00023AB2">
        <w:t xml:space="preserve">There </w:t>
      </w:r>
      <w:r w:rsidR="008F2A3F">
        <w:t xml:space="preserve">has been a large decrease </w:t>
      </w:r>
      <w:r w:rsidRPr="00023AB2">
        <w:t xml:space="preserve">in curative </w:t>
      </w:r>
      <w:r w:rsidR="008F2A3F">
        <w:t xml:space="preserve">lung cancer </w:t>
      </w:r>
      <w:r w:rsidRPr="00023AB2">
        <w:t>surger</w:t>
      </w:r>
      <w:r w:rsidR="008F2A3F">
        <w:t xml:space="preserve">y </w:t>
      </w:r>
      <w:r w:rsidR="00511614" w:rsidRPr="00023AB2">
        <w:t>for Māori</w:t>
      </w:r>
      <w:r w:rsidR="008F2A3F">
        <w:t xml:space="preserve"> in 2020 compared to 2019. </w:t>
      </w:r>
    </w:p>
    <w:p w14:paraId="76715B2D" w14:textId="1AD5E009" w:rsidR="008F2A3F" w:rsidRPr="00461897" w:rsidRDefault="000D5555" w:rsidP="00461897">
      <w:pPr>
        <w:pStyle w:val="ListParagraph"/>
        <w:numPr>
          <w:ilvl w:val="0"/>
          <w:numId w:val="43"/>
        </w:numPr>
        <w:rPr>
          <w:rFonts w:asciiTheme="majorHAnsi" w:eastAsiaTheme="majorEastAsia" w:hAnsiTheme="majorHAnsi" w:cstheme="majorBidi"/>
          <w:sz w:val="26"/>
          <w:szCs w:val="26"/>
        </w:rPr>
      </w:pPr>
      <w:r w:rsidRPr="00023AB2">
        <w:t>The decrease in lung cancer surger</w:t>
      </w:r>
      <w:r w:rsidR="008F2A3F">
        <w:t>y</w:t>
      </w:r>
      <w:r w:rsidRPr="00023AB2">
        <w:t xml:space="preserve"> follows the pattern </w:t>
      </w:r>
      <w:r w:rsidR="00FE4438" w:rsidRPr="00023AB2">
        <w:t xml:space="preserve">seen for </w:t>
      </w:r>
      <w:r w:rsidRPr="00023AB2">
        <w:t>bronchoscopies, with the decrease starting prior to lockdown</w:t>
      </w:r>
      <w:r w:rsidR="00CA12EB" w:rsidRPr="00023AB2">
        <w:t xml:space="preserve">. It is unclear </w:t>
      </w:r>
      <w:r w:rsidR="00FF6DC0" w:rsidRPr="00023AB2">
        <w:t xml:space="preserve">what is driving </w:t>
      </w:r>
      <w:r w:rsidR="00461897" w:rsidRPr="00023AB2">
        <w:t>this,</w:t>
      </w:r>
      <w:r w:rsidR="008F2A3F" w:rsidRPr="00023AB2">
        <w:t xml:space="preserve"> but</w:t>
      </w:r>
      <w:r w:rsidR="00CA12EB" w:rsidRPr="00023AB2">
        <w:t xml:space="preserve"> </w:t>
      </w:r>
      <w:r w:rsidR="008F2A3F">
        <w:t xml:space="preserve">it </w:t>
      </w:r>
      <w:r w:rsidR="00CA12EB" w:rsidRPr="00023AB2">
        <w:t xml:space="preserve">could </w:t>
      </w:r>
      <w:r w:rsidR="001F4C09" w:rsidRPr="00023AB2">
        <w:t xml:space="preserve">be due to </w:t>
      </w:r>
      <w:r w:rsidRPr="00023AB2">
        <w:t>a change</w:t>
      </w:r>
      <w:r w:rsidR="001F4C09" w:rsidRPr="00023AB2">
        <w:t xml:space="preserve"> in the investigation and management of lung cancer </w:t>
      </w:r>
      <w:r w:rsidR="00CA12EB" w:rsidRPr="00023AB2">
        <w:t>earlier in 2020</w:t>
      </w:r>
      <w:r w:rsidR="00512CD5" w:rsidRPr="00023AB2">
        <w:t xml:space="preserve"> in anticipation of </w:t>
      </w:r>
      <w:r w:rsidR="001F4C09" w:rsidRPr="00023AB2">
        <w:t>COVID-19</w:t>
      </w:r>
      <w:r w:rsidR="00461897">
        <w:t xml:space="preserve">. This could </w:t>
      </w:r>
      <w:r w:rsidR="00461897">
        <w:lastRenderedPageBreak/>
        <w:t xml:space="preserve">include an increase in radiotherapy for lung cancer to minimise invasive respiratory procedures and protect ICU capacity. </w:t>
      </w:r>
    </w:p>
    <w:p w14:paraId="1315AA67" w14:textId="77777777" w:rsidR="00FF6DC0" w:rsidRPr="00023AB2" w:rsidRDefault="001F4C09" w:rsidP="00361851">
      <w:pPr>
        <w:pStyle w:val="ListParagraph"/>
        <w:numPr>
          <w:ilvl w:val="0"/>
          <w:numId w:val="43"/>
        </w:numPr>
        <w:rPr>
          <w:rFonts w:asciiTheme="majorHAnsi" w:eastAsiaTheme="majorEastAsia" w:hAnsiTheme="majorHAnsi" w:cstheme="majorBidi"/>
          <w:sz w:val="26"/>
          <w:szCs w:val="26"/>
        </w:rPr>
      </w:pPr>
      <w:r w:rsidRPr="00023AB2">
        <w:t>The early decrease in lung cancer surgery is most</w:t>
      </w:r>
      <w:r w:rsidR="00884108" w:rsidRPr="00023AB2">
        <w:t xml:space="preserve"> noticeable for Māori, with fewer curative surgeries performed since the beginning of 2020</w:t>
      </w:r>
      <w:r w:rsidRPr="00023AB2">
        <w:t xml:space="preserve"> (noting that the numbers are relatively small).</w:t>
      </w:r>
    </w:p>
    <w:p w14:paraId="02BC16D1" w14:textId="7D42C9AE" w:rsidR="008F5DD2" w:rsidRDefault="008F5DD2" w:rsidP="008F5DD2">
      <w:pPr>
        <w:pStyle w:val="Heading1"/>
      </w:pPr>
      <w:bookmarkStart w:id="39" w:name="_Toc41410748"/>
      <w:bookmarkStart w:id="40" w:name="_Toc41474445"/>
      <w:r>
        <w:t xml:space="preserve">Prostate </w:t>
      </w:r>
      <w:r w:rsidR="007154D3">
        <w:t xml:space="preserve">cancer </w:t>
      </w:r>
      <w:r>
        <w:t>surgery</w:t>
      </w:r>
      <w:bookmarkEnd w:id="39"/>
      <w:bookmarkEnd w:id="40"/>
    </w:p>
    <w:p w14:paraId="04C40D12" w14:textId="77777777" w:rsidR="008F5DD2" w:rsidRDefault="008F5DD2" w:rsidP="008F5DD2">
      <w:pPr>
        <w:pStyle w:val="Heading2"/>
      </w:pPr>
      <w:r>
        <w:t>Notes on data</w:t>
      </w:r>
    </w:p>
    <w:p w14:paraId="7EB21484" w14:textId="77777777" w:rsidR="00461897" w:rsidRDefault="00461897" w:rsidP="00461897">
      <w:pPr>
        <w:pStyle w:val="ListParagraph"/>
        <w:numPr>
          <w:ilvl w:val="0"/>
          <w:numId w:val="12"/>
        </w:numPr>
      </w:pPr>
      <w:r>
        <w:t>A list of the surgical procedure codes used for analysis are included in Appendix 3.</w:t>
      </w:r>
    </w:p>
    <w:p w14:paraId="10CA1141" w14:textId="77777777" w:rsidR="00461897" w:rsidRDefault="00461897" w:rsidP="00461897">
      <w:pPr>
        <w:pStyle w:val="ListParagraph"/>
        <w:numPr>
          <w:ilvl w:val="0"/>
          <w:numId w:val="12"/>
        </w:numPr>
      </w:pPr>
      <w:r>
        <w:t xml:space="preserve">The data was extracted from the National Minimum Dataset on 21 May 2020. </w:t>
      </w:r>
    </w:p>
    <w:p w14:paraId="29367F77" w14:textId="70125576" w:rsidR="00AB5BEA" w:rsidRDefault="00AB5BEA" w:rsidP="00AB5BEA">
      <w:pPr>
        <w:pStyle w:val="ListParagraph"/>
        <w:numPr>
          <w:ilvl w:val="0"/>
          <w:numId w:val="12"/>
        </w:numPr>
      </w:pPr>
      <w:r>
        <w:t xml:space="preserve">The number of prostate cancer surgeries performed each month is relatively small, so caution is needed when comparing data by month. </w:t>
      </w:r>
    </w:p>
    <w:p w14:paraId="31D00881" w14:textId="77777777" w:rsidR="008F5DD2" w:rsidRDefault="008F5DD2" w:rsidP="008F5DD2">
      <w:pPr>
        <w:pStyle w:val="Heading2"/>
      </w:pPr>
      <w:r>
        <w:t xml:space="preserve">Results </w:t>
      </w:r>
    </w:p>
    <w:p w14:paraId="14E31CB3" w14:textId="1ABD82F4" w:rsidR="008F5DD2" w:rsidRPr="00093162" w:rsidRDefault="00461897" w:rsidP="008F5DD2">
      <w:r>
        <w:t>There was a decrease in the number of prostate cancer surgeries performed in April 2020 compared to April 2019; however, this has not resulted in an overall reduction in the total number of prostate cancer surgeries performed in 2020 compared to 2019 (</w:t>
      </w:r>
      <w:r>
        <w:fldChar w:fldCharType="begin"/>
      </w:r>
      <w:r>
        <w:instrText xml:space="preserve"> REF _Ref41426067 \h </w:instrText>
      </w:r>
      <w:r>
        <w:fldChar w:fldCharType="separate"/>
      </w:r>
      <w:r w:rsidR="00CC108E">
        <w:t xml:space="preserve">Table </w:t>
      </w:r>
      <w:r w:rsidR="00CC108E">
        <w:rPr>
          <w:noProof/>
        </w:rPr>
        <w:t>9</w:t>
      </w:r>
      <w:r>
        <w:fldChar w:fldCharType="end"/>
      </w:r>
      <w:r>
        <w:t xml:space="preserve">). </w:t>
      </w:r>
    </w:p>
    <w:p w14:paraId="136A8CB1" w14:textId="2EBF9B2C" w:rsidR="00461897" w:rsidRDefault="00461897" w:rsidP="00461897">
      <w:pPr>
        <w:pStyle w:val="Caption"/>
        <w:keepNext/>
      </w:pPr>
      <w:bookmarkStart w:id="41" w:name="_Ref41426067"/>
      <w:r>
        <w:t xml:space="preserve">Table </w:t>
      </w:r>
      <w:fldSimple w:instr=" SEQ Table \* ARABIC ">
        <w:r w:rsidR="00CC108E">
          <w:rPr>
            <w:noProof/>
          </w:rPr>
          <w:t>9</w:t>
        </w:r>
      </w:fldSimple>
      <w:bookmarkEnd w:id="41"/>
      <w:r>
        <w:t xml:space="preserve">: </w:t>
      </w:r>
      <w:r w:rsidRPr="008475AF">
        <w:t>Percentage change in curative prostate cancer surgery in 2020 compared to 2019 by month, and cumulative year to date</w:t>
      </w:r>
    </w:p>
    <w:tbl>
      <w:tblPr>
        <w:tblW w:w="5904" w:type="dxa"/>
        <w:jc w:val="center"/>
        <w:tblLook w:val="04A0" w:firstRow="1" w:lastRow="0" w:firstColumn="1" w:lastColumn="0" w:noHBand="0" w:noVBand="1"/>
      </w:tblPr>
      <w:tblGrid>
        <w:gridCol w:w="2409"/>
        <w:gridCol w:w="795"/>
        <w:gridCol w:w="1350"/>
        <w:gridCol w:w="1350"/>
      </w:tblGrid>
      <w:tr w:rsidR="008F5DD2" w:rsidRPr="00350F72" w14:paraId="3A911229" w14:textId="77777777" w:rsidTr="00512CD5">
        <w:trPr>
          <w:trHeight w:val="319"/>
          <w:jc w:val="center"/>
        </w:trPr>
        <w:tc>
          <w:tcPr>
            <w:tcW w:w="2409" w:type="dxa"/>
            <w:tcBorders>
              <w:top w:val="nil"/>
              <w:left w:val="nil"/>
              <w:bottom w:val="single" w:sz="4" w:space="0" w:color="auto"/>
              <w:right w:val="single" w:sz="4" w:space="0" w:color="auto"/>
            </w:tcBorders>
            <w:shd w:val="clear" w:color="auto" w:fill="auto"/>
            <w:noWrap/>
            <w:vAlign w:val="bottom"/>
          </w:tcPr>
          <w:p w14:paraId="67D0BEB7" w14:textId="77777777" w:rsidR="008F5DD2" w:rsidRPr="00350F72" w:rsidRDefault="008F5DD2" w:rsidP="00297636">
            <w:pPr>
              <w:spacing w:after="0" w:line="240" w:lineRule="auto"/>
              <w:rPr>
                <w:rFonts w:ascii="Calibri" w:eastAsia="Times New Roman" w:hAnsi="Calibri" w:cs="Times New Roman"/>
                <w:color w:val="000000"/>
                <w:sz w:val="20"/>
                <w:lang w:eastAsia="en-NZ"/>
              </w:rPr>
            </w:pPr>
          </w:p>
        </w:tc>
        <w:tc>
          <w:tcPr>
            <w:tcW w:w="795" w:type="dxa"/>
            <w:tcBorders>
              <w:left w:val="single" w:sz="4" w:space="0" w:color="auto"/>
              <w:bottom w:val="single" w:sz="4" w:space="0" w:color="auto"/>
            </w:tcBorders>
            <w:shd w:val="clear" w:color="auto" w:fill="auto"/>
            <w:noWrap/>
            <w:vAlign w:val="bottom"/>
          </w:tcPr>
          <w:p w14:paraId="4E315B74" w14:textId="77777777" w:rsidR="008F5DD2" w:rsidRPr="00350F72" w:rsidRDefault="008F5DD2" w:rsidP="00297636">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March</w:t>
            </w:r>
          </w:p>
        </w:tc>
        <w:tc>
          <w:tcPr>
            <w:tcW w:w="1350" w:type="dxa"/>
            <w:tcBorders>
              <w:bottom w:val="single" w:sz="4" w:space="0" w:color="auto"/>
              <w:right w:val="single" w:sz="12" w:space="0" w:color="auto"/>
            </w:tcBorders>
            <w:shd w:val="clear" w:color="auto" w:fill="auto"/>
            <w:noWrap/>
            <w:vAlign w:val="bottom"/>
          </w:tcPr>
          <w:p w14:paraId="568E5D56" w14:textId="77777777" w:rsidR="008F5DD2" w:rsidRPr="00350F72" w:rsidRDefault="008F5DD2" w:rsidP="00297636">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April</w:t>
            </w:r>
          </w:p>
        </w:tc>
        <w:tc>
          <w:tcPr>
            <w:tcW w:w="1350" w:type="dxa"/>
            <w:tcBorders>
              <w:left w:val="single" w:sz="12" w:space="0" w:color="auto"/>
              <w:bottom w:val="single" w:sz="4" w:space="0" w:color="auto"/>
            </w:tcBorders>
            <w:shd w:val="clear" w:color="auto" w:fill="auto"/>
            <w:noWrap/>
            <w:vAlign w:val="bottom"/>
          </w:tcPr>
          <w:p w14:paraId="2E9F912C" w14:textId="77777777" w:rsidR="008F5DD2" w:rsidRPr="00350F72" w:rsidRDefault="008F5DD2" w:rsidP="00297636">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YTD</w:t>
            </w:r>
          </w:p>
        </w:tc>
      </w:tr>
      <w:tr w:rsidR="00AB0320" w:rsidRPr="00350F72" w14:paraId="6340474E" w14:textId="77777777" w:rsidTr="00512CD5">
        <w:trPr>
          <w:trHeight w:val="319"/>
          <w:jc w:val="center"/>
        </w:trPr>
        <w:tc>
          <w:tcPr>
            <w:tcW w:w="2409" w:type="dxa"/>
            <w:tcBorders>
              <w:top w:val="single" w:sz="4" w:space="0" w:color="auto"/>
              <w:left w:val="nil"/>
              <w:bottom w:val="single" w:sz="4" w:space="0" w:color="auto"/>
              <w:right w:val="single" w:sz="4" w:space="0" w:color="auto"/>
            </w:tcBorders>
            <w:shd w:val="clear" w:color="auto" w:fill="auto"/>
            <w:noWrap/>
            <w:vAlign w:val="bottom"/>
          </w:tcPr>
          <w:p w14:paraId="6A728C2E" w14:textId="43105B70" w:rsidR="00AB0320" w:rsidRPr="00350F72" w:rsidRDefault="00AB0320" w:rsidP="00297636">
            <w:pPr>
              <w:spacing w:after="0" w:line="240" w:lineRule="auto"/>
              <w:jc w:val="right"/>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Total</w:t>
            </w:r>
            <w:r w:rsidR="001A1264" w:rsidRPr="00350F72">
              <w:rPr>
                <w:rFonts w:ascii="Calibri" w:eastAsia="Times New Roman" w:hAnsi="Calibri" w:cs="Times New Roman"/>
                <w:color w:val="000000"/>
                <w:sz w:val="20"/>
                <w:lang w:eastAsia="en-NZ"/>
              </w:rPr>
              <w:t xml:space="preserve"> Population</w:t>
            </w:r>
            <w:r w:rsidR="00652E60">
              <w:rPr>
                <w:rFonts w:ascii="Calibri" w:eastAsia="Times New Roman" w:hAnsi="Calibri" w:cs="Times New Roman"/>
                <w:color w:val="000000"/>
                <w:sz w:val="20"/>
                <w:lang w:eastAsia="en-NZ"/>
              </w:rPr>
              <w:t>*</w:t>
            </w:r>
            <w:r w:rsidRPr="00350F72">
              <w:rPr>
                <w:rFonts w:ascii="Calibri" w:eastAsia="Times New Roman" w:hAnsi="Calibri" w:cs="Times New Roman"/>
                <w:color w:val="000000"/>
                <w:sz w:val="20"/>
                <w:lang w:eastAsia="en-NZ"/>
              </w:rPr>
              <w:t xml:space="preserve"> </w:t>
            </w:r>
          </w:p>
        </w:tc>
        <w:tc>
          <w:tcPr>
            <w:tcW w:w="795" w:type="dxa"/>
            <w:tcBorders>
              <w:top w:val="single" w:sz="4" w:space="0" w:color="auto"/>
              <w:left w:val="single" w:sz="4" w:space="0" w:color="auto"/>
              <w:bottom w:val="single" w:sz="4" w:space="0" w:color="auto"/>
            </w:tcBorders>
            <w:shd w:val="clear" w:color="auto" w:fill="auto"/>
            <w:noWrap/>
            <w:vAlign w:val="bottom"/>
          </w:tcPr>
          <w:p w14:paraId="4778A005" w14:textId="4857113F" w:rsidR="00AB0320" w:rsidRPr="00350F72" w:rsidRDefault="00AB0320" w:rsidP="00297636">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13%</w:t>
            </w:r>
          </w:p>
        </w:tc>
        <w:tc>
          <w:tcPr>
            <w:tcW w:w="1350" w:type="dxa"/>
            <w:tcBorders>
              <w:top w:val="single" w:sz="4" w:space="0" w:color="auto"/>
              <w:bottom w:val="single" w:sz="4" w:space="0" w:color="auto"/>
              <w:right w:val="single" w:sz="12" w:space="0" w:color="auto"/>
            </w:tcBorders>
            <w:shd w:val="clear" w:color="auto" w:fill="auto"/>
            <w:noWrap/>
            <w:vAlign w:val="bottom"/>
          </w:tcPr>
          <w:p w14:paraId="799FBB73" w14:textId="071DCA1B" w:rsidR="00AB0320" w:rsidRPr="00350F72" w:rsidRDefault="00AB0320" w:rsidP="00297636">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-21%</w:t>
            </w:r>
          </w:p>
        </w:tc>
        <w:tc>
          <w:tcPr>
            <w:tcW w:w="1350" w:type="dxa"/>
            <w:tcBorders>
              <w:top w:val="single" w:sz="4" w:space="0" w:color="auto"/>
              <w:left w:val="single" w:sz="12" w:space="0" w:color="auto"/>
              <w:bottom w:val="single" w:sz="4" w:space="0" w:color="auto"/>
            </w:tcBorders>
            <w:shd w:val="clear" w:color="auto" w:fill="auto"/>
            <w:noWrap/>
            <w:vAlign w:val="bottom"/>
          </w:tcPr>
          <w:p w14:paraId="7FE73099" w14:textId="34EA97C4" w:rsidR="00AB0320" w:rsidRPr="00350F72" w:rsidRDefault="00AB0320" w:rsidP="00297636">
            <w:pPr>
              <w:spacing w:after="0" w:line="240" w:lineRule="auto"/>
              <w:jc w:val="center"/>
              <w:rPr>
                <w:rFonts w:ascii="Calibri" w:eastAsia="Times New Roman" w:hAnsi="Calibri" w:cs="Times New Roman"/>
                <w:color w:val="000000"/>
                <w:sz w:val="20"/>
                <w:lang w:eastAsia="en-NZ"/>
              </w:rPr>
            </w:pPr>
            <w:r w:rsidRPr="00350F72">
              <w:rPr>
                <w:rFonts w:ascii="Calibri" w:eastAsia="Times New Roman" w:hAnsi="Calibri" w:cs="Times New Roman"/>
                <w:color w:val="000000"/>
                <w:sz w:val="20"/>
                <w:lang w:eastAsia="en-NZ"/>
              </w:rPr>
              <w:t>3%</w:t>
            </w:r>
          </w:p>
        </w:tc>
      </w:tr>
    </w:tbl>
    <w:p w14:paraId="143D6D8A" w14:textId="77777777" w:rsidR="00652E60" w:rsidRPr="00AB5BEA" w:rsidRDefault="00652E60" w:rsidP="00652E60">
      <w:pPr>
        <w:rPr>
          <w:noProof/>
          <w:sz w:val="18"/>
        </w:rPr>
      </w:pPr>
      <w:r w:rsidRPr="00AB5BEA">
        <w:rPr>
          <w:noProof/>
          <w:sz w:val="18"/>
        </w:rPr>
        <w:t>*Due to the small number of surguries performed each</w:t>
      </w:r>
      <w:r>
        <w:rPr>
          <w:noProof/>
          <w:sz w:val="18"/>
        </w:rPr>
        <w:t xml:space="preserve"> month</w:t>
      </w:r>
      <w:r w:rsidRPr="00AB5BEA">
        <w:rPr>
          <w:noProof/>
          <w:sz w:val="18"/>
        </w:rPr>
        <w:t xml:space="preserve"> calculations have only been included for the total population rather than by ethnicity</w:t>
      </w:r>
    </w:p>
    <w:p w14:paraId="5DF8D37E" w14:textId="632A8934" w:rsidR="00482B48" w:rsidRDefault="00461897" w:rsidP="00482B48">
      <w:pPr>
        <w:pStyle w:val="Caption"/>
        <w:keepNext/>
        <w:spacing w:before="240"/>
      </w:pPr>
      <w:r>
        <w:t xml:space="preserve">Figure </w:t>
      </w:r>
      <w:fldSimple w:instr=" SEQ Figure \* ARABIC ">
        <w:r w:rsidR="00CC108E">
          <w:rPr>
            <w:noProof/>
          </w:rPr>
          <w:t>17</w:t>
        </w:r>
      </w:fldSimple>
      <w:r w:rsidR="00482B48">
        <w:t>:</w:t>
      </w:r>
      <w:r w:rsidR="00482B48" w:rsidRPr="00482B48">
        <w:t xml:space="preserve"> </w:t>
      </w:r>
      <w:r w:rsidR="00482B48" w:rsidRPr="00FD4C15">
        <w:t xml:space="preserve">Number of curative </w:t>
      </w:r>
      <w:r w:rsidR="0074319D">
        <w:t>prostate</w:t>
      </w:r>
      <w:r w:rsidR="00482B48">
        <w:t xml:space="preserve"> </w:t>
      </w:r>
      <w:r w:rsidR="00482B48" w:rsidRPr="00FD4C15">
        <w:t>cancer surgeries by month and year, total population (left) and for Māori (right)</w:t>
      </w:r>
    </w:p>
    <w:p w14:paraId="2A26BB31" w14:textId="3C1B187A" w:rsidR="008F5DD2" w:rsidRDefault="008F5DD2" w:rsidP="00461897">
      <w:pPr>
        <w:rPr>
          <w:noProof/>
          <w:sz w:val="12"/>
        </w:rPr>
      </w:pPr>
      <w:r w:rsidRPr="007E66A8">
        <w:rPr>
          <w:noProof/>
          <w:sz w:val="12"/>
        </w:rPr>
        <w:drawing>
          <wp:inline distT="0" distB="0" distL="0" distR="0" wp14:anchorId="440348D7" wp14:editId="5024577C">
            <wp:extent cx="3067050" cy="2543175"/>
            <wp:effectExtent l="0" t="0" r="0" b="9525"/>
            <wp:docPr id="13" name="Chart 13">
              <a:extLst xmlns:a="http://schemas.openxmlformats.org/drawingml/2006/main">
                <a:ext uri="{FF2B5EF4-FFF2-40B4-BE49-F238E27FC236}">
                  <a16:creationId xmlns:a16="http://schemas.microsoft.com/office/drawing/2014/main" id="{452D1C21-5C8F-41BD-91F5-69DEE51D1E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AB5BEA" w:rsidRPr="00AB5BEA">
        <w:rPr>
          <w:noProof/>
        </w:rPr>
        <w:t xml:space="preserve"> </w:t>
      </w:r>
      <w:r w:rsidR="00AB5BEA">
        <w:rPr>
          <w:noProof/>
        </w:rPr>
        <w:drawing>
          <wp:inline distT="0" distB="0" distL="0" distR="0" wp14:anchorId="493C6062" wp14:editId="1001FF8E">
            <wp:extent cx="2975610" cy="2536106"/>
            <wp:effectExtent l="0" t="0" r="15240" b="17145"/>
            <wp:docPr id="7" name="Chart 7">
              <a:extLst xmlns:a="http://schemas.openxmlformats.org/drawingml/2006/main">
                <a:ext uri="{FF2B5EF4-FFF2-40B4-BE49-F238E27FC236}">
                  <a16:creationId xmlns:a16="http://schemas.microsoft.com/office/drawing/2014/main" id="{2667ADE1-AE4D-4763-8889-1C94565176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B1E82D5" w14:textId="3E826B78" w:rsidR="00482B48" w:rsidRDefault="00482B48" w:rsidP="00482B48">
      <w:pPr>
        <w:rPr>
          <w:noProof/>
        </w:rPr>
      </w:pPr>
      <w:r>
        <w:rPr>
          <w:noProof/>
        </w:rPr>
        <w:t xml:space="preserve">*Due to the small number of surguries performed each month it is not possible to draw conclusions from small changes </w:t>
      </w:r>
      <w:r w:rsidR="00350F72">
        <w:rPr>
          <w:noProof/>
        </w:rPr>
        <w:t>between</w:t>
      </w:r>
      <w:r>
        <w:rPr>
          <w:noProof/>
        </w:rPr>
        <w:t xml:space="preserve"> month. </w:t>
      </w:r>
    </w:p>
    <w:p w14:paraId="2E684CAA" w14:textId="71BDB66D" w:rsidR="00482B48" w:rsidRPr="00482B48" w:rsidRDefault="00482B48" w:rsidP="00482B48">
      <w:pPr>
        <w:pStyle w:val="Caption"/>
        <w:keepNext/>
        <w:rPr>
          <w:b w:val="0"/>
        </w:rPr>
      </w:pPr>
      <w:r>
        <w:lastRenderedPageBreak/>
        <w:t xml:space="preserve">Figure </w:t>
      </w:r>
      <w:fldSimple w:instr=" SEQ Figure \* ARABIC ">
        <w:r w:rsidR="00CC108E">
          <w:rPr>
            <w:noProof/>
          </w:rPr>
          <w:t>18</w:t>
        </w:r>
      </w:fldSimple>
      <w:r>
        <w:t>:</w:t>
      </w:r>
      <w:r w:rsidRPr="00482B48">
        <w:t xml:space="preserve"> </w:t>
      </w:r>
      <w:r>
        <w:t xml:space="preserve">Cumulative number of curative </w:t>
      </w:r>
      <w:r w:rsidR="0074319D">
        <w:t>prostate</w:t>
      </w:r>
      <w:r>
        <w:t xml:space="preserve"> cancer surgeries by year, for the total population (left) and for Māori (right)</w:t>
      </w:r>
    </w:p>
    <w:p w14:paraId="2AE80AC3" w14:textId="77777777" w:rsidR="008F5DD2" w:rsidRPr="007E66A8" w:rsidRDefault="008F5DD2" w:rsidP="008F5DD2">
      <w:pPr>
        <w:rPr>
          <w:sz w:val="12"/>
        </w:rPr>
      </w:pPr>
      <w:r>
        <w:rPr>
          <w:noProof/>
        </w:rPr>
        <w:drawing>
          <wp:inline distT="0" distB="0" distL="0" distR="0" wp14:anchorId="309F8E9A" wp14:editId="3332DE7F">
            <wp:extent cx="3077154" cy="2743200"/>
            <wp:effectExtent l="0" t="0" r="9525" b="0"/>
            <wp:docPr id="69" name="Chart 69">
              <a:extLst xmlns:a="http://schemas.openxmlformats.org/drawingml/2006/main">
                <a:ext uri="{FF2B5EF4-FFF2-40B4-BE49-F238E27FC236}">
                  <a16:creationId xmlns:a16="http://schemas.microsoft.com/office/drawing/2014/main" id="{CE481528-B137-44C9-AA3C-DACDD2E3A9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noProof/>
        </w:rPr>
        <w:drawing>
          <wp:inline distT="0" distB="0" distL="0" distR="0" wp14:anchorId="33A5B42E" wp14:editId="6DB8E8EC">
            <wp:extent cx="3013544" cy="2731135"/>
            <wp:effectExtent l="0" t="0" r="15875" b="12065"/>
            <wp:docPr id="70" name="Chart 70">
              <a:extLst xmlns:a="http://schemas.openxmlformats.org/drawingml/2006/main">
                <a:ext uri="{FF2B5EF4-FFF2-40B4-BE49-F238E27FC236}">
                  <a16:creationId xmlns:a16="http://schemas.microsoft.com/office/drawing/2014/main" id="{8BE1D287-A5D2-479D-8176-BAE9E3B7BF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6F8973D" w14:textId="77777777" w:rsidR="0076192F" w:rsidRDefault="0076192F" w:rsidP="0076192F">
      <w:pPr>
        <w:pStyle w:val="Heading2"/>
      </w:pPr>
      <w:r>
        <w:t>Key points</w:t>
      </w:r>
    </w:p>
    <w:p w14:paraId="59CEC78A" w14:textId="7E9B14C2" w:rsidR="0076192F" w:rsidRDefault="0076192F" w:rsidP="0076192F">
      <w:pPr>
        <w:pStyle w:val="ListParagraph"/>
        <w:numPr>
          <w:ilvl w:val="0"/>
          <w:numId w:val="15"/>
        </w:numPr>
      </w:pPr>
      <w:r>
        <w:t>There was a drop off in curative prostate cancer surgery during the lockdown. This aligns with a decrease in diagnos</w:t>
      </w:r>
      <w:r w:rsidR="00482B48">
        <w:t>e</w:t>
      </w:r>
      <w:r>
        <w:t xml:space="preserve">s of prostate cancer </w:t>
      </w:r>
      <w:r w:rsidR="00482B48">
        <w:t xml:space="preserve">(see </w:t>
      </w:r>
      <w:r w:rsidR="00482B48">
        <w:fldChar w:fldCharType="begin"/>
      </w:r>
      <w:r w:rsidR="00482B48">
        <w:instrText xml:space="preserve"> REF _Ref41411881 \h </w:instrText>
      </w:r>
      <w:r w:rsidR="00482B48">
        <w:fldChar w:fldCharType="separate"/>
      </w:r>
      <w:r w:rsidR="00CC108E">
        <w:t xml:space="preserve">Figure </w:t>
      </w:r>
      <w:r w:rsidR="00CC108E">
        <w:rPr>
          <w:noProof/>
        </w:rPr>
        <w:t>4</w:t>
      </w:r>
      <w:r w:rsidR="00482B48">
        <w:fldChar w:fldCharType="end"/>
      </w:r>
      <w:r w:rsidR="00482B48">
        <w:t xml:space="preserve"> and </w:t>
      </w:r>
      <w:r w:rsidR="00482B48">
        <w:fldChar w:fldCharType="begin"/>
      </w:r>
      <w:r w:rsidR="00482B48">
        <w:instrText xml:space="preserve"> REF _Ref41253294 \h </w:instrText>
      </w:r>
      <w:r w:rsidR="00482B48">
        <w:fldChar w:fldCharType="separate"/>
      </w:r>
      <w:r w:rsidR="00CC108E">
        <w:t xml:space="preserve">Figure </w:t>
      </w:r>
      <w:r w:rsidR="00CC108E">
        <w:rPr>
          <w:noProof/>
        </w:rPr>
        <w:t>5</w:t>
      </w:r>
      <w:r w:rsidR="00482B48">
        <w:fldChar w:fldCharType="end"/>
      </w:r>
      <w:r w:rsidR="00482B48">
        <w:t>).</w:t>
      </w:r>
    </w:p>
    <w:p w14:paraId="3DDFF710" w14:textId="09F2CB99" w:rsidR="00482B48" w:rsidRDefault="00482B48" w:rsidP="00350F72">
      <w:pPr>
        <w:pStyle w:val="ListParagraph"/>
        <w:numPr>
          <w:ilvl w:val="0"/>
          <w:numId w:val="15"/>
        </w:numPr>
      </w:pPr>
      <w:r>
        <w:t>The lockdown has, so far, had minimal impact on the overall number of prostate cancer surgeries performed in 2020 compared to 2019.</w:t>
      </w:r>
    </w:p>
    <w:p w14:paraId="166B38EC" w14:textId="77777777" w:rsidR="002A3BC8" w:rsidRDefault="002A3BC8" w:rsidP="002A3BC8">
      <w:pPr>
        <w:pStyle w:val="Heading1"/>
      </w:pPr>
      <w:bookmarkStart w:id="42" w:name="_Toc41410749"/>
      <w:bookmarkStart w:id="43" w:name="_Toc41474446"/>
      <w:r>
        <w:t>Medical oncology</w:t>
      </w:r>
      <w:bookmarkEnd w:id="42"/>
      <w:bookmarkEnd w:id="43"/>
    </w:p>
    <w:p w14:paraId="2A737CB1" w14:textId="7CA235B8" w:rsidR="00F62620" w:rsidRDefault="00F62620" w:rsidP="00F62620">
      <w:pPr>
        <w:pStyle w:val="Heading2"/>
      </w:pPr>
      <w:r>
        <w:t>Notes on data</w:t>
      </w:r>
    </w:p>
    <w:p w14:paraId="0FB9AF82" w14:textId="22A787ED" w:rsidR="00F7692E" w:rsidRDefault="00F7692E" w:rsidP="00F7692E">
      <w:pPr>
        <w:pStyle w:val="ListParagraph"/>
        <w:numPr>
          <w:ilvl w:val="0"/>
          <w:numId w:val="31"/>
        </w:numPr>
      </w:pPr>
      <w:r w:rsidRPr="00F7692E">
        <w:t>Extracted from</w:t>
      </w:r>
      <w:r>
        <w:t xml:space="preserve"> </w:t>
      </w:r>
      <w:r w:rsidRPr="00F7692E">
        <w:t>National Non-admitted patient collection (Outpatient collection)</w:t>
      </w:r>
      <w:r w:rsidR="00350F72">
        <w:t xml:space="preserve"> on 21 May 2020.</w:t>
      </w:r>
    </w:p>
    <w:p w14:paraId="24703678" w14:textId="4067FB68" w:rsidR="00CE1A01" w:rsidRDefault="00CE1A01" w:rsidP="00CE1A01">
      <w:pPr>
        <w:pStyle w:val="ListParagraph"/>
        <w:numPr>
          <w:ilvl w:val="0"/>
          <w:numId w:val="31"/>
        </w:numPr>
      </w:pPr>
      <w:r>
        <w:t xml:space="preserve">First specialist assessment (FSA) reflects counts of first attendance for specialist medical oncology assessment. </w:t>
      </w:r>
    </w:p>
    <w:p w14:paraId="700E649F" w14:textId="74F30059" w:rsidR="006D4241" w:rsidRDefault="00350F72" w:rsidP="006D4241">
      <w:pPr>
        <w:pStyle w:val="ListParagraph"/>
        <w:numPr>
          <w:ilvl w:val="0"/>
          <w:numId w:val="31"/>
        </w:numPr>
      </w:pPr>
      <w:r>
        <w:t>IV chemotherapy r</w:t>
      </w:r>
      <w:r w:rsidR="006D4241">
        <w:t xml:space="preserve">eflects </w:t>
      </w:r>
      <w:r w:rsidR="006D4241" w:rsidRPr="00F7692E">
        <w:t xml:space="preserve">appointments for </w:t>
      </w:r>
      <w:r>
        <w:t xml:space="preserve">outpatient </w:t>
      </w:r>
      <w:r w:rsidR="006D4241" w:rsidRPr="00F7692E">
        <w:t>IV chemotherapy</w:t>
      </w:r>
      <w:r w:rsidR="006D4241">
        <w:t xml:space="preserve"> for </w:t>
      </w:r>
      <w:r w:rsidR="006D4241" w:rsidRPr="00F7692E">
        <w:t>non-haematolog</w:t>
      </w:r>
      <w:r w:rsidR="006D4241">
        <w:t>ical indications.</w:t>
      </w:r>
    </w:p>
    <w:p w14:paraId="693788D7" w14:textId="2DE5EB5B" w:rsidR="000C4429" w:rsidRDefault="006D4241" w:rsidP="00F7692E">
      <w:pPr>
        <w:pStyle w:val="ListParagraph"/>
        <w:numPr>
          <w:ilvl w:val="0"/>
          <w:numId w:val="31"/>
        </w:numPr>
      </w:pPr>
      <w:r>
        <w:t xml:space="preserve">Technical information: </w:t>
      </w:r>
      <w:r w:rsidR="00CE1A01">
        <w:t xml:space="preserve">FSA </w:t>
      </w:r>
      <w:r w:rsidR="00CE1A01" w:rsidRPr="00CE1A01">
        <w:t>(PUC M50020</w:t>
      </w:r>
      <w:r w:rsidR="00CE1A01">
        <w:t>)</w:t>
      </w:r>
      <w:r w:rsidR="00350F72">
        <w:t>,</w:t>
      </w:r>
      <w:r w:rsidR="00CE1A01">
        <w:t xml:space="preserve"> </w:t>
      </w:r>
      <w:r w:rsidR="00512CD5">
        <w:t>o</w:t>
      </w:r>
      <w:r w:rsidR="00F7692E" w:rsidRPr="00F7692E">
        <w:t>utpatient IV chemo</w:t>
      </w:r>
      <w:r w:rsidR="00512CD5">
        <w:t>therapy</w:t>
      </w:r>
      <w:r w:rsidR="00F7692E" w:rsidRPr="00F7692E">
        <w:t xml:space="preserve"> (</w:t>
      </w:r>
      <w:r w:rsidR="00CE1A01">
        <w:t>PUC</w:t>
      </w:r>
      <w:r w:rsidR="00F7692E" w:rsidRPr="00F7692E">
        <w:t xml:space="preserve"> MS02009) </w:t>
      </w:r>
    </w:p>
    <w:p w14:paraId="6BEC91D8" w14:textId="7ACCB10B" w:rsidR="001F6AA3" w:rsidRDefault="001F6AA3" w:rsidP="001F6AA3">
      <w:pPr>
        <w:pStyle w:val="Heading2"/>
      </w:pPr>
      <w:r>
        <w:t>Results</w:t>
      </w:r>
    </w:p>
    <w:p w14:paraId="0B97EE65" w14:textId="597C9F53" w:rsidR="00CE1A01" w:rsidRPr="00A26AAA" w:rsidRDefault="00350F72" w:rsidP="00CE1A01">
      <w:r>
        <w:t>Overall, first specialist appointments for medical oncology remained stable</w:t>
      </w:r>
      <w:r w:rsidR="00D70CF8">
        <w:t xml:space="preserve"> in April 2020 compared to April 2019</w:t>
      </w:r>
      <w:r>
        <w:t>; however, there was a decrease in FSAs for Māori in April (</w:t>
      </w:r>
      <w:r w:rsidR="00A61C54">
        <w:fldChar w:fldCharType="begin"/>
      </w:r>
      <w:r w:rsidR="00A61C54">
        <w:instrText xml:space="preserve"> REF _Ref41475758 \h </w:instrText>
      </w:r>
      <w:r w:rsidR="00A61C54">
        <w:fldChar w:fldCharType="separate"/>
      </w:r>
      <w:r w:rsidR="00CC108E">
        <w:t xml:space="preserve">Table </w:t>
      </w:r>
      <w:r w:rsidR="00CC108E">
        <w:rPr>
          <w:noProof/>
        </w:rPr>
        <w:t>10</w:t>
      </w:r>
      <w:r w:rsidR="00A61C54">
        <w:fldChar w:fldCharType="end"/>
      </w:r>
      <w:r>
        <w:t xml:space="preserve">). </w:t>
      </w:r>
    </w:p>
    <w:p w14:paraId="68EA399D" w14:textId="0860F785" w:rsidR="00350F72" w:rsidRDefault="00350F72" w:rsidP="00350F72">
      <w:pPr>
        <w:pStyle w:val="Caption"/>
        <w:keepNext/>
      </w:pPr>
      <w:bookmarkStart w:id="44" w:name="_Ref41475758"/>
      <w:r>
        <w:t xml:space="preserve">Table </w:t>
      </w:r>
      <w:fldSimple w:instr=" SEQ Table \* ARABIC ">
        <w:r w:rsidR="00CC108E">
          <w:rPr>
            <w:noProof/>
          </w:rPr>
          <w:t>10</w:t>
        </w:r>
      </w:fldSimple>
      <w:bookmarkEnd w:id="44"/>
      <w:r>
        <w:t>:</w:t>
      </w:r>
      <w:r w:rsidRPr="00350F72">
        <w:t xml:space="preserve"> </w:t>
      </w:r>
      <w:r w:rsidRPr="009A47E7">
        <w:t xml:space="preserve">Percentage change in medical oncology </w:t>
      </w:r>
      <w:r w:rsidR="0074319D">
        <w:t>first specialist assessments</w:t>
      </w:r>
      <w:r w:rsidRPr="009A47E7">
        <w:t xml:space="preserve"> in 2020 compared to 2019 by month, and cumulative year to date</w:t>
      </w:r>
    </w:p>
    <w:tbl>
      <w:tblPr>
        <w:tblW w:w="8289" w:type="dxa"/>
        <w:jc w:val="center"/>
        <w:tblLook w:val="04A0" w:firstRow="1" w:lastRow="0" w:firstColumn="1" w:lastColumn="0" w:noHBand="0" w:noVBand="1"/>
      </w:tblPr>
      <w:tblGrid>
        <w:gridCol w:w="2552"/>
        <w:gridCol w:w="597"/>
        <w:gridCol w:w="1285"/>
        <w:gridCol w:w="1285"/>
        <w:gridCol w:w="1285"/>
        <w:gridCol w:w="1285"/>
      </w:tblGrid>
      <w:tr w:rsidR="00CE1A01" w:rsidRPr="0074319D" w14:paraId="0DBFA671" w14:textId="77777777" w:rsidTr="00350F72">
        <w:trPr>
          <w:trHeight w:val="194"/>
          <w:jc w:val="center"/>
        </w:trPr>
        <w:tc>
          <w:tcPr>
            <w:tcW w:w="2552" w:type="dxa"/>
            <w:tcBorders>
              <w:bottom w:val="single" w:sz="4" w:space="0" w:color="auto"/>
              <w:right w:val="single" w:sz="4" w:space="0" w:color="auto"/>
            </w:tcBorders>
            <w:shd w:val="clear" w:color="auto" w:fill="auto"/>
            <w:noWrap/>
            <w:vAlign w:val="bottom"/>
            <w:hideMark/>
          </w:tcPr>
          <w:p w14:paraId="5EA14B31" w14:textId="77777777" w:rsidR="00CE1A01" w:rsidRPr="0074319D" w:rsidRDefault="00CE1A01" w:rsidP="00CE1A01">
            <w:pPr>
              <w:spacing w:after="0" w:line="240" w:lineRule="auto"/>
              <w:rPr>
                <w:rFonts w:ascii="Times New Roman" w:eastAsia="Times New Roman" w:hAnsi="Times New Roman" w:cs="Times New Roman"/>
                <w:sz w:val="20"/>
                <w:szCs w:val="24"/>
                <w:lang w:eastAsia="en-NZ"/>
              </w:rPr>
            </w:pPr>
          </w:p>
        </w:tc>
        <w:tc>
          <w:tcPr>
            <w:tcW w:w="597" w:type="dxa"/>
            <w:tcBorders>
              <w:left w:val="single" w:sz="4" w:space="0" w:color="auto"/>
              <w:bottom w:val="single" w:sz="4" w:space="0" w:color="auto"/>
            </w:tcBorders>
            <w:shd w:val="clear" w:color="auto" w:fill="auto"/>
            <w:noWrap/>
            <w:vAlign w:val="bottom"/>
            <w:hideMark/>
          </w:tcPr>
          <w:p w14:paraId="6CCE80F9" w14:textId="77777777" w:rsidR="00CE1A01" w:rsidRPr="0074319D" w:rsidRDefault="00CE1A01" w:rsidP="00CE1A01">
            <w:pPr>
              <w:spacing w:after="0" w:line="240" w:lineRule="auto"/>
              <w:jc w:val="right"/>
              <w:rPr>
                <w:rFonts w:ascii="Calibri" w:eastAsia="Times New Roman" w:hAnsi="Calibri" w:cs="Times New Roman"/>
                <w:color w:val="000000"/>
                <w:sz w:val="20"/>
                <w:lang w:eastAsia="en-NZ"/>
              </w:rPr>
            </w:pPr>
            <w:r w:rsidRPr="0074319D">
              <w:rPr>
                <w:rFonts w:ascii="Calibri" w:eastAsia="Times New Roman" w:hAnsi="Calibri" w:cs="Times New Roman"/>
                <w:color w:val="000000"/>
                <w:sz w:val="20"/>
                <w:lang w:eastAsia="en-NZ"/>
              </w:rPr>
              <w:t>Jan</w:t>
            </w:r>
          </w:p>
        </w:tc>
        <w:tc>
          <w:tcPr>
            <w:tcW w:w="1285" w:type="dxa"/>
            <w:tcBorders>
              <w:bottom w:val="single" w:sz="4" w:space="0" w:color="auto"/>
            </w:tcBorders>
            <w:shd w:val="clear" w:color="auto" w:fill="auto"/>
            <w:noWrap/>
            <w:vAlign w:val="bottom"/>
            <w:hideMark/>
          </w:tcPr>
          <w:p w14:paraId="4936B90F" w14:textId="77777777" w:rsidR="00CE1A01" w:rsidRPr="0074319D" w:rsidRDefault="00CE1A01" w:rsidP="00CE1A01">
            <w:pPr>
              <w:spacing w:after="0" w:line="240" w:lineRule="auto"/>
              <w:jc w:val="right"/>
              <w:rPr>
                <w:rFonts w:ascii="Calibri" w:eastAsia="Times New Roman" w:hAnsi="Calibri" w:cs="Times New Roman"/>
                <w:color w:val="000000"/>
                <w:sz w:val="20"/>
                <w:lang w:eastAsia="en-NZ"/>
              </w:rPr>
            </w:pPr>
            <w:r w:rsidRPr="0074319D">
              <w:rPr>
                <w:rFonts w:ascii="Calibri" w:eastAsia="Times New Roman" w:hAnsi="Calibri" w:cs="Times New Roman"/>
                <w:color w:val="000000"/>
                <w:sz w:val="20"/>
                <w:lang w:eastAsia="en-NZ"/>
              </w:rPr>
              <w:t>Feb</w:t>
            </w:r>
          </w:p>
        </w:tc>
        <w:tc>
          <w:tcPr>
            <w:tcW w:w="1285" w:type="dxa"/>
            <w:tcBorders>
              <w:bottom w:val="single" w:sz="4" w:space="0" w:color="auto"/>
            </w:tcBorders>
            <w:shd w:val="clear" w:color="auto" w:fill="auto"/>
            <w:noWrap/>
            <w:vAlign w:val="bottom"/>
            <w:hideMark/>
          </w:tcPr>
          <w:p w14:paraId="53663DCE" w14:textId="77777777" w:rsidR="00CE1A01" w:rsidRPr="0074319D" w:rsidRDefault="00CE1A01" w:rsidP="00CE1A01">
            <w:pPr>
              <w:spacing w:after="0" w:line="240" w:lineRule="auto"/>
              <w:jc w:val="right"/>
              <w:rPr>
                <w:rFonts w:ascii="Calibri" w:eastAsia="Times New Roman" w:hAnsi="Calibri" w:cs="Times New Roman"/>
                <w:color w:val="000000"/>
                <w:sz w:val="20"/>
                <w:lang w:eastAsia="en-NZ"/>
              </w:rPr>
            </w:pPr>
            <w:r w:rsidRPr="0074319D">
              <w:rPr>
                <w:rFonts w:ascii="Calibri" w:eastAsia="Times New Roman" w:hAnsi="Calibri" w:cs="Times New Roman"/>
                <w:color w:val="000000"/>
                <w:sz w:val="20"/>
                <w:lang w:eastAsia="en-NZ"/>
              </w:rPr>
              <w:t>March</w:t>
            </w:r>
          </w:p>
        </w:tc>
        <w:tc>
          <w:tcPr>
            <w:tcW w:w="1285" w:type="dxa"/>
            <w:tcBorders>
              <w:bottom w:val="single" w:sz="4" w:space="0" w:color="auto"/>
              <w:right w:val="single" w:sz="12" w:space="0" w:color="auto"/>
            </w:tcBorders>
            <w:shd w:val="clear" w:color="auto" w:fill="auto"/>
            <w:noWrap/>
            <w:vAlign w:val="bottom"/>
            <w:hideMark/>
          </w:tcPr>
          <w:p w14:paraId="145DDB02" w14:textId="77777777" w:rsidR="00CE1A01" w:rsidRPr="0074319D" w:rsidRDefault="00CE1A01" w:rsidP="00CE1A01">
            <w:pPr>
              <w:spacing w:after="0" w:line="240" w:lineRule="auto"/>
              <w:jc w:val="right"/>
              <w:rPr>
                <w:rFonts w:ascii="Calibri" w:eastAsia="Times New Roman" w:hAnsi="Calibri" w:cs="Times New Roman"/>
                <w:color w:val="000000"/>
                <w:sz w:val="20"/>
                <w:lang w:eastAsia="en-NZ"/>
              </w:rPr>
            </w:pPr>
            <w:r w:rsidRPr="0074319D">
              <w:rPr>
                <w:rFonts w:ascii="Calibri" w:eastAsia="Times New Roman" w:hAnsi="Calibri" w:cs="Times New Roman"/>
                <w:color w:val="000000"/>
                <w:sz w:val="20"/>
                <w:lang w:eastAsia="en-NZ"/>
              </w:rPr>
              <w:t>April</w:t>
            </w:r>
          </w:p>
        </w:tc>
        <w:tc>
          <w:tcPr>
            <w:tcW w:w="1285" w:type="dxa"/>
            <w:tcBorders>
              <w:left w:val="single" w:sz="12" w:space="0" w:color="auto"/>
              <w:bottom w:val="single" w:sz="4" w:space="0" w:color="auto"/>
            </w:tcBorders>
            <w:shd w:val="clear" w:color="auto" w:fill="auto"/>
            <w:noWrap/>
            <w:vAlign w:val="bottom"/>
            <w:hideMark/>
          </w:tcPr>
          <w:p w14:paraId="6FA7A707" w14:textId="77777777" w:rsidR="00CE1A01" w:rsidRPr="0074319D" w:rsidRDefault="00CE1A01" w:rsidP="00CE1A01">
            <w:pPr>
              <w:spacing w:after="0" w:line="240" w:lineRule="auto"/>
              <w:jc w:val="right"/>
              <w:rPr>
                <w:rFonts w:ascii="Calibri" w:eastAsia="Times New Roman" w:hAnsi="Calibri" w:cs="Times New Roman"/>
                <w:color w:val="000000"/>
                <w:sz w:val="20"/>
                <w:lang w:eastAsia="en-NZ"/>
              </w:rPr>
            </w:pPr>
            <w:r w:rsidRPr="0074319D">
              <w:rPr>
                <w:rFonts w:ascii="Calibri" w:eastAsia="Times New Roman" w:hAnsi="Calibri" w:cs="Times New Roman"/>
                <w:color w:val="000000"/>
                <w:sz w:val="20"/>
                <w:lang w:eastAsia="en-NZ"/>
              </w:rPr>
              <w:t>YTD</w:t>
            </w:r>
          </w:p>
        </w:tc>
      </w:tr>
      <w:tr w:rsidR="00CE1A01" w:rsidRPr="0074319D" w14:paraId="6305781D" w14:textId="77777777" w:rsidTr="00350F72">
        <w:trPr>
          <w:trHeight w:val="194"/>
          <w:jc w:val="center"/>
        </w:trPr>
        <w:tc>
          <w:tcPr>
            <w:tcW w:w="2552" w:type="dxa"/>
            <w:tcBorders>
              <w:top w:val="single" w:sz="4" w:space="0" w:color="auto"/>
              <w:right w:val="single" w:sz="4" w:space="0" w:color="auto"/>
            </w:tcBorders>
            <w:shd w:val="clear" w:color="auto" w:fill="auto"/>
            <w:noWrap/>
            <w:vAlign w:val="bottom"/>
            <w:hideMark/>
          </w:tcPr>
          <w:p w14:paraId="0C60E9F0" w14:textId="77777777" w:rsidR="00CE1A01" w:rsidRPr="0074319D" w:rsidRDefault="00CE1A01" w:rsidP="00350F72">
            <w:pPr>
              <w:spacing w:after="0" w:line="240" w:lineRule="auto"/>
              <w:jc w:val="right"/>
              <w:rPr>
                <w:rFonts w:ascii="Calibri" w:eastAsia="Times New Roman" w:hAnsi="Calibri" w:cs="Times New Roman"/>
                <w:color w:val="000000"/>
                <w:sz w:val="20"/>
                <w:lang w:eastAsia="en-NZ"/>
              </w:rPr>
            </w:pPr>
            <w:r w:rsidRPr="0074319D">
              <w:rPr>
                <w:rFonts w:ascii="Calibri" w:eastAsia="Times New Roman" w:hAnsi="Calibri" w:cs="Times New Roman"/>
                <w:color w:val="000000"/>
                <w:sz w:val="20"/>
                <w:lang w:eastAsia="en-NZ"/>
              </w:rPr>
              <w:t>Māori</w:t>
            </w:r>
          </w:p>
        </w:tc>
        <w:tc>
          <w:tcPr>
            <w:tcW w:w="597" w:type="dxa"/>
            <w:tcBorders>
              <w:top w:val="nil"/>
              <w:left w:val="nil"/>
              <w:bottom w:val="nil"/>
              <w:right w:val="nil"/>
            </w:tcBorders>
            <w:shd w:val="clear" w:color="auto" w:fill="auto"/>
            <w:noWrap/>
            <w:vAlign w:val="bottom"/>
          </w:tcPr>
          <w:p w14:paraId="7CFB4818" w14:textId="77777777" w:rsidR="00CE1A01" w:rsidRPr="0074319D" w:rsidRDefault="00CE1A01" w:rsidP="00CE1A01">
            <w:pPr>
              <w:spacing w:after="0" w:line="240" w:lineRule="auto"/>
              <w:jc w:val="right"/>
              <w:rPr>
                <w:rFonts w:ascii="Calibri" w:eastAsia="Times New Roman" w:hAnsi="Calibri" w:cs="Times New Roman"/>
                <w:color w:val="000000"/>
                <w:sz w:val="20"/>
                <w:lang w:eastAsia="en-NZ"/>
              </w:rPr>
            </w:pPr>
            <w:r w:rsidRPr="0074319D">
              <w:rPr>
                <w:rFonts w:ascii="Calibri" w:hAnsi="Calibri"/>
                <w:color w:val="000000"/>
                <w:sz w:val="20"/>
              </w:rPr>
              <w:t>-6%</w:t>
            </w:r>
          </w:p>
        </w:tc>
        <w:tc>
          <w:tcPr>
            <w:tcW w:w="1285" w:type="dxa"/>
            <w:tcBorders>
              <w:top w:val="nil"/>
              <w:left w:val="nil"/>
              <w:bottom w:val="nil"/>
              <w:right w:val="nil"/>
            </w:tcBorders>
            <w:shd w:val="clear" w:color="auto" w:fill="auto"/>
            <w:noWrap/>
            <w:vAlign w:val="bottom"/>
          </w:tcPr>
          <w:p w14:paraId="4F09AB7E" w14:textId="77777777" w:rsidR="00CE1A01" w:rsidRPr="0074319D" w:rsidRDefault="00CE1A01" w:rsidP="00CE1A01">
            <w:pPr>
              <w:spacing w:after="0" w:line="240" w:lineRule="auto"/>
              <w:jc w:val="right"/>
              <w:rPr>
                <w:rFonts w:ascii="Calibri" w:eastAsia="Times New Roman" w:hAnsi="Calibri" w:cs="Times New Roman"/>
                <w:color w:val="000000"/>
                <w:sz w:val="20"/>
                <w:lang w:eastAsia="en-NZ"/>
              </w:rPr>
            </w:pPr>
            <w:r w:rsidRPr="0074319D">
              <w:rPr>
                <w:rFonts w:ascii="Calibri" w:hAnsi="Calibri"/>
                <w:color w:val="000000"/>
                <w:sz w:val="20"/>
              </w:rPr>
              <w:t>-24%</w:t>
            </w:r>
          </w:p>
        </w:tc>
        <w:tc>
          <w:tcPr>
            <w:tcW w:w="1285" w:type="dxa"/>
            <w:tcBorders>
              <w:top w:val="nil"/>
              <w:left w:val="nil"/>
              <w:bottom w:val="nil"/>
              <w:right w:val="nil"/>
            </w:tcBorders>
            <w:shd w:val="clear" w:color="auto" w:fill="auto"/>
            <w:noWrap/>
            <w:vAlign w:val="bottom"/>
          </w:tcPr>
          <w:p w14:paraId="4104D478" w14:textId="77777777" w:rsidR="00CE1A01" w:rsidRPr="0074319D" w:rsidRDefault="00CE1A01" w:rsidP="00CE1A01">
            <w:pPr>
              <w:spacing w:after="0" w:line="240" w:lineRule="auto"/>
              <w:jc w:val="right"/>
              <w:rPr>
                <w:rFonts w:ascii="Calibri" w:eastAsia="Times New Roman" w:hAnsi="Calibri" w:cs="Times New Roman"/>
                <w:color w:val="000000"/>
                <w:sz w:val="20"/>
                <w:lang w:eastAsia="en-NZ"/>
              </w:rPr>
            </w:pPr>
            <w:r w:rsidRPr="0074319D">
              <w:rPr>
                <w:rFonts w:ascii="Calibri" w:hAnsi="Calibri"/>
                <w:color w:val="000000"/>
                <w:sz w:val="20"/>
              </w:rPr>
              <w:t>28%</w:t>
            </w:r>
          </w:p>
        </w:tc>
        <w:tc>
          <w:tcPr>
            <w:tcW w:w="1285" w:type="dxa"/>
            <w:tcBorders>
              <w:top w:val="nil"/>
              <w:left w:val="nil"/>
              <w:bottom w:val="nil"/>
              <w:right w:val="nil"/>
            </w:tcBorders>
            <w:shd w:val="clear" w:color="auto" w:fill="auto"/>
            <w:noWrap/>
            <w:vAlign w:val="bottom"/>
          </w:tcPr>
          <w:p w14:paraId="7157D54F" w14:textId="77777777" w:rsidR="00CE1A01" w:rsidRPr="0074319D" w:rsidRDefault="00CE1A01" w:rsidP="00CE1A01">
            <w:pPr>
              <w:spacing w:after="0" w:line="240" w:lineRule="auto"/>
              <w:jc w:val="right"/>
              <w:rPr>
                <w:rFonts w:ascii="Calibri" w:eastAsia="Times New Roman" w:hAnsi="Calibri" w:cs="Times New Roman"/>
                <w:color w:val="000000"/>
                <w:sz w:val="20"/>
                <w:lang w:eastAsia="en-NZ"/>
              </w:rPr>
            </w:pPr>
            <w:r w:rsidRPr="0074319D">
              <w:rPr>
                <w:rFonts w:ascii="Calibri" w:hAnsi="Calibri"/>
                <w:color w:val="000000"/>
                <w:sz w:val="20"/>
              </w:rPr>
              <w:t>-19%</w:t>
            </w:r>
          </w:p>
        </w:tc>
        <w:tc>
          <w:tcPr>
            <w:tcW w:w="1285" w:type="dxa"/>
            <w:tcBorders>
              <w:top w:val="single" w:sz="4" w:space="0" w:color="auto"/>
              <w:left w:val="single" w:sz="12" w:space="0" w:color="auto"/>
            </w:tcBorders>
            <w:shd w:val="clear" w:color="auto" w:fill="auto"/>
            <w:noWrap/>
            <w:vAlign w:val="bottom"/>
          </w:tcPr>
          <w:p w14:paraId="519F301C" w14:textId="77777777" w:rsidR="00CE1A01" w:rsidRPr="0074319D" w:rsidRDefault="00CE1A01" w:rsidP="00CE1A01">
            <w:pPr>
              <w:spacing w:after="0" w:line="240" w:lineRule="auto"/>
              <w:jc w:val="right"/>
              <w:rPr>
                <w:rFonts w:ascii="Calibri" w:eastAsia="Times New Roman" w:hAnsi="Calibri" w:cs="Times New Roman"/>
                <w:color w:val="000000"/>
                <w:sz w:val="20"/>
                <w:lang w:eastAsia="en-NZ"/>
              </w:rPr>
            </w:pPr>
            <w:r w:rsidRPr="0074319D">
              <w:rPr>
                <w:rFonts w:ascii="Calibri" w:eastAsia="Times New Roman" w:hAnsi="Calibri" w:cs="Times New Roman"/>
                <w:color w:val="000000"/>
                <w:sz w:val="20"/>
                <w:lang w:eastAsia="en-NZ"/>
              </w:rPr>
              <w:t>-8%</w:t>
            </w:r>
          </w:p>
        </w:tc>
      </w:tr>
      <w:tr w:rsidR="00CE1A01" w:rsidRPr="0074319D" w14:paraId="67F926A6" w14:textId="77777777" w:rsidTr="00350F72">
        <w:trPr>
          <w:trHeight w:val="194"/>
          <w:jc w:val="center"/>
        </w:trPr>
        <w:tc>
          <w:tcPr>
            <w:tcW w:w="2552" w:type="dxa"/>
            <w:tcBorders>
              <w:bottom w:val="single" w:sz="18" w:space="0" w:color="auto"/>
              <w:right w:val="single" w:sz="4" w:space="0" w:color="auto"/>
            </w:tcBorders>
            <w:shd w:val="clear" w:color="auto" w:fill="auto"/>
            <w:noWrap/>
            <w:vAlign w:val="bottom"/>
            <w:hideMark/>
          </w:tcPr>
          <w:p w14:paraId="63DDD77C" w14:textId="77777777" w:rsidR="00CE1A01" w:rsidRPr="0074319D" w:rsidRDefault="00CE1A01" w:rsidP="00350F72">
            <w:pPr>
              <w:spacing w:after="0" w:line="240" w:lineRule="auto"/>
              <w:jc w:val="right"/>
              <w:rPr>
                <w:rFonts w:ascii="Calibri" w:eastAsia="Times New Roman" w:hAnsi="Calibri" w:cs="Times New Roman"/>
                <w:color w:val="000000"/>
                <w:sz w:val="20"/>
                <w:lang w:eastAsia="en-NZ"/>
              </w:rPr>
            </w:pPr>
            <w:r w:rsidRPr="0074319D">
              <w:rPr>
                <w:rFonts w:ascii="Calibri" w:eastAsia="Times New Roman" w:hAnsi="Calibri" w:cs="Times New Roman"/>
                <w:color w:val="000000"/>
                <w:sz w:val="20"/>
                <w:lang w:eastAsia="en-NZ"/>
              </w:rPr>
              <w:t>Non-Māori/Non-Pacific</w:t>
            </w:r>
          </w:p>
        </w:tc>
        <w:tc>
          <w:tcPr>
            <w:tcW w:w="597" w:type="dxa"/>
            <w:tcBorders>
              <w:top w:val="nil"/>
              <w:left w:val="nil"/>
              <w:bottom w:val="single" w:sz="18" w:space="0" w:color="auto"/>
              <w:right w:val="nil"/>
            </w:tcBorders>
            <w:shd w:val="clear" w:color="auto" w:fill="auto"/>
            <w:noWrap/>
            <w:vAlign w:val="bottom"/>
          </w:tcPr>
          <w:p w14:paraId="50A09FEA" w14:textId="77777777" w:rsidR="00CE1A01" w:rsidRPr="0074319D" w:rsidRDefault="00CE1A01" w:rsidP="00CE1A01">
            <w:pPr>
              <w:spacing w:after="0" w:line="240" w:lineRule="auto"/>
              <w:jc w:val="right"/>
              <w:rPr>
                <w:rFonts w:ascii="Calibri" w:eastAsia="Times New Roman" w:hAnsi="Calibri" w:cs="Times New Roman"/>
                <w:color w:val="000000"/>
                <w:sz w:val="20"/>
                <w:lang w:eastAsia="en-NZ"/>
              </w:rPr>
            </w:pPr>
            <w:r w:rsidRPr="0074319D">
              <w:rPr>
                <w:rFonts w:ascii="Calibri" w:hAnsi="Calibri"/>
                <w:color w:val="000000"/>
                <w:sz w:val="20"/>
              </w:rPr>
              <w:t>-6%</w:t>
            </w:r>
          </w:p>
        </w:tc>
        <w:tc>
          <w:tcPr>
            <w:tcW w:w="1285" w:type="dxa"/>
            <w:tcBorders>
              <w:top w:val="nil"/>
              <w:left w:val="nil"/>
              <w:bottom w:val="single" w:sz="18" w:space="0" w:color="auto"/>
              <w:right w:val="nil"/>
            </w:tcBorders>
            <w:shd w:val="clear" w:color="auto" w:fill="auto"/>
            <w:noWrap/>
            <w:vAlign w:val="bottom"/>
          </w:tcPr>
          <w:p w14:paraId="3D23B51E" w14:textId="77777777" w:rsidR="00CE1A01" w:rsidRPr="0074319D" w:rsidRDefault="00CE1A01" w:rsidP="00CE1A01">
            <w:pPr>
              <w:spacing w:after="0" w:line="240" w:lineRule="auto"/>
              <w:jc w:val="right"/>
              <w:rPr>
                <w:rFonts w:ascii="Calibri" w:eastAsia="Times New Roman" w:hAnsi="Calibri" w:cs="Times New Roman"/>
                <w:color w:val="000000"/>
                <w:sz w:val="20"/>
                <w:lang w:eastAsia="en-NZ"/>
              </w:rPr>
            </w:pPr>
            <w:r w:rsidRPr="0074319D">
              <w:rPr>
                <w:rFonts w:ascii="Calibri" w:hAnsi="Calibri"/>
                <w:color w:val="000000"/>
                <w:sz w:val="20"/>
              </w:rPr>
              <w:t>0%</w:t>
            </w:r>
          </w:p>
        </w:tc>
        <w:tc>
          <w:tcPr>
            <w:tcW w:w="1285" w:type="dxa"/>
            <w:tcBorders>
              <w:top w:val="nil"/>
              <w:left w:val="nil"/>
              <w:bottom w:val="single" w:sz="18" w:space="0" w:color="auto"/>
              <w:right w:val="nil"/>
            </w:tcBorders>
            <w:shd w:val="clear" w:color="auto" w:fill="auto"/>
            <w:noWrap/>
            <w:vAlign w:val="bottom"/>
          </w:tcPr>
          <w:p w14:paraId="1DE802F6" w14:textId="77777777" w:rsidR="00CE1A01" w:rsidRPr="0074319D" w:rsidRDefault="00CE1A01" w:rsidP="00CE1A01">
            <w:pPr>
              <w:spacing w:after="0" w:line="240" w:lineRule="auto"/>
              <w:jc w:val="right"/>
              <w:rPr>
                <w:rFonts w:ascii="Calibri" w:eastAsia="Times New Roman" w:hAnsi="Calibri" w:cs="Times New Roman"/>
                <w:color w:val="000000"/>
                <w:sz w:val="20"/>
                <w:lang w:eastAsia="en-NZ"/>
              </w:rPr>
            </w:pPr>
            <w:r w:rsidRPr="0074319D">
              <w:rPr>
                <w:rFonts w:ascii="Calibri" w:hAnsi="Calibri"/>
                <w:color w:val="000000"/>
                <w:sz w:val="20"/>
              </w:rPr>
              <w:t>7%</w:t>
            </w:r>
          </w:p>
        </w:tc>
        <w:tc>
          <w:tcPr>
            <w:tcW w:w="1285" w:type="dxa"/>
            <w:tcBorders>
              <w:top w:val="nil"/>
              <w:left w:val="nil"/>
              <w:bottom w:val="single" w:sz="18" w:space="0" w:color="auto"/>
              <w:right w:val="nil"/>
            </w:tcBorders>
            <w:shd w:val="clear" w:color="auto" w:fill="auto"/>
            <w:noWrap/>
            <w:vAlign w:val="bottom"/>
          </w:tcPr>
          <w:p w14:paraId="68C660A5" w14:textId="77777777" w:rsidR="00CE1A01" w:rsidRPr="0074319D" w:rsidRDefault="00CE1A01" w:rsidP="00CE1A01">
            <w:pPr>
              <w:spacing w:after="0" w:line="240" w:lineRule="auto"/>
              <w:jc w:val="right"/>
              <w:rPr>
                <w:rFonts w:ascii="Calibri" w:eastAsia="Times New Roman" w:hAnsi="Calibri" w:cs="Times New Roman"/>
                <w:color w:val="000000"/>
                <w:sz w:val="20"/>
                <w:lang w:eastAsia="en-NZ"/>
              </w:rPr>
            </w:pPr>
            <w:r w:rsidRPr="0074319D">
              <w:rPr>
                <w:rFonts w:ascii="Calibri" w:hAnsi="Calibri"/>
                <w:color w:val="000000"/>
                <w:sz w:val="20"/>
              </w:rPr>
              <w:t>12%</w:t>
            </w:r>
          </w:p>
        </w:tc>
        <w:tc>
          <w:tcPr>
            <w:tcW w:w="1285" w:type="dxa"/>
            <w:tcBorders>
              <w:left w:val="single" w:sz="12" w:space="0" w:color="auto"/>
              <w:bottom w:val="single" w:sz="18" w:space="0" w:color="auto"/>
            </w:tcBorders>
            <w:shd w:val="clear" w:color="auto" w:fill="auto"/>
            <w:noWrap/>
            <w:vAlign w:val="bottom"/>
          </w:tcPr>
          <w:p w14:paraId="1D768C82" w14:textId="77777777" w:rsidR="00CE1A01" w:rsidRPr="0074319D" w:rsidRDefault="00CE1A01" w:rsidP="00CE1A01">
            <w:pPr>
              <w:spacing w:after="0" w:line="240" w:lineRule="auto"/>
              <w:jc w:val="right"/>
              <w:rPr>
                <w:rFonts w:ascii="Calibri" w:eastAsia="Times New Roman" w:hAnsi="Calibri" w:cs="Times New Roman"/>
                <w:color w:val="000000"/>
                <w:sz w:val="20"/>
                <w:lang w:eastAsia="en-NZ"/>
              </w:rPr>
            </w:pPr>
            <w:r w:rsidRPr="0074319D">
              <w:rPr>
                <w:rFonts w:ascii="Calibri" w:eastAsia="Times New Roman" w:hAnsi="Calibri" w:cs="Times New Roman"/>
                <w:color w:val="000000"/>
                <w:sz w:val="20"/>
                <w:lang w:eastAsia="en-NZ"/>
              </w:rPr>
              <w:t>+1</w:t>
            </w:r>
          </w:p>
        </w:tc>
      </w:tr>
      <w:tr w:rsidR="00CE1A01" w:rsidRPr="0074319D" w14:paraId="743CD4C2" w14:textId="77777777" w:rsidTr="00350F72">
        <w:trPr>
          <w:trHeight w:val="92"/>
          <w:jc w:val="center"/>
        </w:trPr>
        <w:tc>
          <w:tcPr>
            <w:tcW w:w="2552" w:type="dxa"/>
            <w:tcBorders>
              <w:top w:val="single" w:sz="18" w:space="0" w:color="auto"/>
              <w:bottom w:val="single" w:sz="4" w:space="0" w:color="auto"/>
              <w:right w:val="single" w:sz="4" w:space="0" w:color="auto"/>
            </w:tcBorders>
            <w:shd w:val="clear" w:color="auto" w:fill="auto"/>
            <w:noWrap/>
            <w:vAlign w:val="bottom"/>
          </w:tcPr>
          <w:p w14:paraId="5C4C9CD3" w14:textId="77777777" w:rsidR="00CE1A01" w:rsidRPr="0074319D" w:rsidRDefault="00CE1A01" w:rsidP="00350F72">
            <w:pPr>
              <w:spacing w:after="0" w:line="240" w:lineRule="auto"/>
              <w:jc w:val="right"/>
              <w:rPr>
                <w:rFonts w:ascii="Calibri" w:eastAsia="Times New Roman" w:hAnsi="Calibri" w:cs="Times New Roman"/>
                <w:color w:val="000000"/>
                <w:sz w:val="20"/>
                <w:lang w:eastAsia="en-NZ"/>
              </w:rPr>
            </w:pPr>
            <w:r w:rsidRPr="0074319D">
              <w:rPr>
                <w:rFonts w:ascii="Calibri" w:eastAsia="Times New Roman" w:hAnsi="Calibri" w:cs="Times New Roman"/>
                <w:color w:val="000000"/>
                <w:sz w:val="20"/>
                <w:lang w:eastAsia="en-NZ"/>
              </w:rPr>
              <w:t>Total</w:t>
            </w:r>
          </w:p>
        </w:tc>
        <w:tc>
          <w:tcPr>
            <w:tcW w:w="597" w:type="dxa"/>
            <w:tcBorders>
              <w:top w:val="single" w:sz="18" w:space="0" w:color="auto"/>
              <w:left w:val="nil"/>
              <w:bottom w:val="single" w:sz="4" w:space="0" w:color="auto"/>
              <w:right w:val="nil"/>
            </w:tcBorders>
            <w:shd w:val="clear" w:color="auto" w:fill="auto"/>
            <w:noWrap/>
            <w:vAlign w:val="bottom"/>
          </w:tcPr>
          <w:p w14:paraId="0229216C" w14:textId="77777777" w:rsidR="00CE1A01" w:rsidRPr="0074319D" w:rsidRDefault="00CE1A01" w:rsidP="00CE1A01">
            <w:pPr>
              <w:spacing w:after="0" w:line="240" w:lineRule="auto"/>
              <w:jc w:val="right"/>
              <w:rPr>
                <w:rFonts w:ascii="Calibri" w:eastAsia="Times New Roman" w:hAnsi="Calibri" w:cs="Times New Roman"/>
                <w:color w:val="000000"/>
                <w:sz w:val="20"/>
                <w:lang w:eastAsia="en-NZ"/>
              </w:rPr>
            </w:pPr>
            <w:r w:rsidRPr="0074319D">
              <w:rPr>
                <w:rFonts w:ascii="Calibri" w:hAnsi="Calibri"/>
                <w:color w:val="000000"/>
                <w:sz w:val="20"/>
              </w:rPr>
              <w:t>-4%</w:t>
            </w:r>
          </w:p>
        </w:tc>
        <w:tc>
          <w:tcPr>
            <w:tcW w:w="1285" w:type="dxa"/>
            <w:tcBorders>
              <w:top w:val="single" w:sz="18" w:space="0" w:color="auto"/>
              <w:left w:val="nil"/>
              <w:bottom w:val="single" w:sz="4" w:space="0" w:color="auto"/>
              <w:right w:val="nil"/>
            </w:tcBorders>
            <w:shd w:val="clear" w:color="auto" w:fill="auto"/>
            <w:noWrap/>
            <w:vAlign w:val="bottom"/>
          </w:tcPr>
          <w:p w14:paraId="7EF3ECBE" w14:textId="77777777" w:rsidR="00CE1A01" w:rsidRPr="0074319D" w:rsidRDefault="00CE1A01" w:rsidP="00CE1A01">
            <w:pPr>
              <w:spacing w:after="0" w:line="240" w:lineRule="auto"/>
              <w:jc w:val="right"/>
              <w:rPr>
                <w:rFonts w:ascii="Calibri" w:eastAsia="Times New Roman" w:hAnsi="Calibri" w:cs="Times New Roman"/>
                <w:color w:val="000000"/>
                <w:sz w:val="20"/>
                <w:lang w:eastAsia="en-NZ"/>
              </w:rPr>
            </w:pPr>
            <w:r w:rsidRPr="0074319D">
              <w:rPr>
                <w:rFonts w:ascii="Calibri" w:hAnsi="Calibri"/>
                <w:color w:val="000000"/>
                <w:sz w:val="20"/>
              </w:rPr>
              <w:t>-2%</w:t>
            </w:r>
          </w:p>
        </w:tc>
        <w:tc>
          <w:tcPr>
            <w:tcW w:w="1285" w:type="dxa"/>
            <w:tcBorders>
              <w:top w:val="single" w:sz="18" w:space="0" w:color="auto"/>
              <w:left w:val="nil"/>
              <w:bottom w:val="single" w:sz="4" w:space="0" w:color="auto"/>
              <w:right w:val="nil"/>
            </w:tcBorders>
            <w:shd w:val="clear" w:color="auto" w:fill="auto"/>
            <w:noWrap/>
            <w:vAlign w:val="bottom"/>
          </w:tcPr>
          <w:p w14:paraId="6ECE4449" w14:textId="77777777" w:rsidR="00CE1A01" w:rsidRPr="0074319D" w:rsidRDefault="00CE1A01" w:rsidP="00CE1A01">
            <w:pPr>
              <w:spacing w:after="0" w:line="240" w:lineRule="auto"/>
              <w:jc w:val="right"/>
              <w:rPr>
                <w:rFonts w:ascii="Calibri" w:eastAsia="Times New Roman" w:hAnsi="Calibri" w:cs="Times New Roman"/>
                <w:color w:val="000000"/>
                <w:sz w:val="20"/>
                <w:lang w:eastAsia="en-NZ"/>
              </w:rPr>
            </w:pPr>
            <w:r w:rsidRPr="0074319D">
              <w:rPr>
                <w:rFonts w:ascii="Calibri" w:hAnsi="Calibri"/>
                <w:color w:val="000000"/>
                <w:sz w:val="20"/>
              </w:rPr>
              <w:t>13%</w:t>
            </w:r>
          </w:p>
        </w:tc>
        <w:tc>
          <w:tcPr>
            <w:tcW w:w="1285" w:type="dxa"/>
            <w:tcBorders>
              <w:top w:val="single" w:sz="18" w:space="0" w:color="auto"/>
              <w:left w:val="nil"/>
              <w:bottom w:val="single" w:sz="4" w:space="0" w:color="auto"/>
              <w:right w:val="nil"/>
            </w:tcBorders>
            <w:shd w:val="clear" w:color="auto" w:fill="auto"/>
            <w:noWrap/>
            <w:vAlign w:val="bottom"/>
          </w:tcPr>
          <w:p w14:paraId="7A1EA0D3" w14:textId="77777777" w:rsidR="00CE1A01" w:rsidRPr="0074319D" w:rsidRDefault="00CE1A01" w:rsidP="00CE1A01">
            <w:pPr>
              <w:spacing w:after="0" w:line="240" w:lineRule="auto"/>
              <w:jc w:val="right"/>
              <w:rPr>
                <w:rFonts w:ascii="Calibri" w:eastAsia="Times New Roman" w:hAnsi="Calibri" w:cs="Times New Roman"/>
                <w:color w:val="000000"/>
                <w:sz w:val="20"/>
                <w:lang w:eastAsia="en-NZ"/>
              </w:rPr>
            </w:pPr>
            <w:r w:rsidRPr="0074319D">
              <w:rPr>
                <w:rFonts w:ascii="Calibri" w:hAnsi="Calibri"/>
                <w:color w:val="000000"/>
                <w:sz w:val="20"/>
              </w:rPr>
              <w:t>9%</w:t>
            </w:r>
          </w:p>
        </w:tc>
        <w:tc>
          <w:tcPr>
            <w:tcW w:w="1285" w:type="dxa"/>
            <w:tcBorders>
              <w:top w:val="single" w:sz="18" w:space="0" w:color="auto"/>
              <w:left w:val="single" w:sz="12" w:space="0" w:color="auto"/>
              <w:bottom w:val="single" w:sz="4" w:space="0" w:color="auto"/>
            </w:tcBorders>
            <w:shd w:val="clear" w:color="auto" w:fill="auto"/>
            <w:noWrap/>
            <w:vAlign w:val="bottom"/>
          </w:tcPr>
          <w:p w14:paraId="040CA5AF" w14:textId="77777777" w:rsidR="00CE1A01" w:rsidRPr="0074319D" w:rsidRDefault="00CE1A01" w:rsidP="00CE1A01">
            <w:pPr>
              <w:keepNext/>
              <w:spacing w:after="0" w:line="240" w:lineRule="auto"/>
              <w:jc w:val="right"/>
              <w:rPr>
                <w:rFonts w:ascii="Calibri" w:eastAsia="Times New Roman" w:hAnsi="Calibri" w:cs="Times New Roman"/>
                <w:color w:val="000000"/>
                <w:sz w:val="20"/>
                <w:lang w:eastAsia="en-NZ"/>
              </w:rPr>
            </w:pPr>
            <w:r w:rsidRPr="0074319D">
              <w:rPr>
                <w:rFonts w:ascii="Calibri" w:eastAsia="Times New Roman" w:hAnsi="Calibri" w:cs="Times New Roman"/>
                <w:color w:val="000000"/>
                <w:sz w:val="20"/>
                <w:lang w:eastAsia="en-NZ"/>
              </w:rPr>
              <w:t>+2</w:t>
            </w:r>
          </w:p>
        </w:tc>
      </w:tr>
    </w:tbl>
    <w:p w14:paraId="1146EC83" w14:textId="2242EFD2" w:rsidR="0074319D" w:rsidRDefault="0074319D" w:rsidP="0074319D">
      <w:pPr>
        <w:pStyle w:val="Caption"/>
        <w:keepNext/>
      </w:pPr>
      <w:r>
        <w:lastRenderedPageBreak/>
        <w:t xml:space="preserve">Figure </w:t>
      </w:r>
      <w:fldSimple w:instr=" SEQ Figure \* ARABIC ">
        <w:r w:rsidR="00CC108E">
          <w:rPr>
            <w:noProof/>
          </w:rPr>
          <w:t>19</w:t>
        </w:r>
      </w:fldSimple>
      <w:r>
        <w:t xml:space="preserve">: </w:t>
      </w:r>
      <w:r w:rsidRPr="00862F88">
        <w:t xml:space="preserve">Number </w:t>
      </w:r>
      <w:r w:rsidR="00900343">
        <w:t xml:space="preserve">of </w:t>
      </w:r>
      <w:r>
        <w:t xml:space="preserve">medical oncology first specialist assessments </w:t>
      </w:r>
      <w:r w:rsidRPr="00862F88">
        <w:t xml:space="preserve">by month and year, </w:t>
      </w:r>
      <w:r w:rsidR="00F94352">
        <w:t xml:space="preserve">for the </w:t>
      </w:r>
      <w:r w:rsidRPr="00862F88">
        <w:t>total population (left) and for Māori (right)</w:t>
      </w:r>
    </w:p>
    <w:p w14:paraId="0C2633CB" w14:textId="77777777" w:rsidR="00CE1A01" w:rsidRDefault="00CE1A01" w:rsidP="00CE1A01">
      <w:pPr>
        <w:rPr>
          <w:noProof/>
        </w:rPr>
      </w:pPr>
      <w:r>
        <w:rPr>
          <w:noProof/>
        </w:rPr>
        <w:drawing>
          <wp:inline distT="0" distB="0" distL="0" distR="0" wp14:anchorId="2A215457" wp14:editId="5DF88086">
            <wp:extent cx="3028950" cy="2395183"/>
            <wp:effectExtent l="0" t="0" r="0" b="5715"/>
            <wp:docPr id="97" name="Chart 97">
              <a:extLst xmlns:a="http://schemas.openxmlformats.org/drawingml/2006/main">
                <a:ext uri="{FF2B5EF4-FFF2-40B4-BE49-F238E27FC236}">
                  <a16:creationId xmlns:a16="http://schemas.microsoft.com/office/drawing/2014/main" id="{2DE03D3A-1CC0-4633-9AAD-AE487909F6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noProof/>
        </w:rPr>
        <w:drawing>
          <wp:inline distT="0" distB="0" distL="0" distR="0" wp14:anchorId="2224E31A" wp14:editId="21677A82">
            <wp:extent cx="3028950" cy="2388358"/>
            <wp:effectExtent l="0" t="0" r="0" b="12065"/>
            <wp:docPr id="98" name="Chart 98">
              <a:extLst xmlns:a="http://schemas.openxmlformats.org/drawingml/2006/main">
                <a:ext uri="{FF2B5EF4-FFF2-40B4-BE49-F238E27FC236}">
                  <a16:creationId xmlns:a16="http://schemas.microsoft.com/office/drawing/2014/main" id="{00A4781C-1130-4119-A8B3-C64937EDAF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2B09954" w14:textId="47D1A2B3" w:rsidR="0074319D" w:rsidRDefault="0074319D" w:rsidP="0074319D">
      <w:pPr>
        <w:pStyle w:val="Caption"/>
        <w:keepNext/>
      </w:pPr>
      <w:r>
        <w:t xml:space="preserve">Figure </w:t>
      </w:r>
      <w:fldSimple w:instr=" SEQ Figure \* ARABIC ">
        <w:r w:rsidR="00CC108E">
          <w:rPr>
            <w:noProof/>
          </w:rPr>
          <w:t>20</w:t>
        </w:r>
      </w:fldSimple>
      <w:r>
        <w:t xml:space="preserve">: </w:t>
      </w:r>
      <w:r w:rsidRPr="007428C9">
        <w:t xml:space="preserve">Cumulative number </w:t>
      </w:r>
      <w:r w:rsidR="00900343">
        <w:t xml:space="preserve">of </w:t>
      </w:r>
      <w:r>
        <w:t xml:space="preserve">medical oncology first specialist assessments </w:t>
      </w:r>
      <w:r w:rsidRPr="007428C9">
        <w:t>by year, for the total population (left) and for Māori (right)</w:t>
      </w:r>
    </w:p>
    <w:p w14:paraId="309DA074" w14:textId="77777777" w:rsidR="00CE1A01" w:rsidRDefault="00CE1A01" w:rsidP="00CE1A01">
      <w:r>
        <w:rPr>
          <w:noProof/>
        </w:rPr>
        <w:drawing>
          <wp:inline distT="0" distB="0" distL="0" distR="0" wp14:anchorId="525C93FA" wp14:editId="19D3A14C">
            <wp:extent cx="3057525" cy="2628900"/>
            <wp:effectExtent l="0" t="0" r="9525" b="0"/>
            <wp:docPr id="99" name="Chart 99">
              <a:extLst xmlns:a="http://schemas.openxmlformats.org/drawingml/2006/main">
                <a:ext uri="{FF2B5EF4-FFF2-40B4-BE49-F238E27FC236}">
                  <a16:creationId xmlns:a16="http://schemas.microsoft.com/office/drawing/2014/main" id="{74C50BEB-373F-4A5B-A445-47707B0F17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noProof/>
        </w:rPr>
        <w:drawing>
          <wp:inline distT="0" distB="0" distL="0" distR="0" wp14:anchorId="26F643E0" wp14:editId="32E3A752">
            <wp:extent cx="3057525" cy="2628900"/>
            <wp:effectExtent l="0" t="0" r="9525" b="0"/>
            <wp:docPr id="100" name="Chart 100">
              <a:extLst xmlns:a="http://schemas.openxmlformats.org/drawingml/2006/main">
                <a:ext uri="{FF2B5EF4-FFF2-40B4-BE49-F238E27FC236}">
                  <a16:creationId xmlns:a16="http://schemas.microsoft.com/office/drawing/2014/main" id="{732B842F-FC9F-4A1C-AF8F-EDD37F69A8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5A7E0E9" w14:textId="71F11C19" w:rsidR="00A62F80" w:rsidRPr="00E46BB1" w:rsidRDefault="0074319D" w:rsidP="00A62F80">
      <w:r>
        <w:t>The was a small decrease in the number of attendances for IV chemotherapy in April 2020 compared to April 2019 for the total population, with an increase seen for Māori (</w:t>
      </w:r>
      <w:r>
        <w:fldChar w:fldCharType="begin"/>
      </w:r>
      <w:r>
        <w:instrText xml:space="preserve"> REF _Ref41427779 \h </w:instrText>
      </w:r>
      <w:r>
        <w:fldChar w:fldCharType="separate"/>
      </w:r>
      <w:r w:rsidR="00CC108E">
        <w:t xml:space="preserve">Table </w:t>
      </w:r>
      <w:r w:rsidR="00CC108E">
        <w:rPr>
          <w:noProof/>
        </w:rPr>
        <w:t>11</w:t>
      </w:r>
      <w:r>
        <w:fldChar w:fldCharType="end"/>
      </w:r>
      <w:r>
        <w:t xml:space="preserve">). Overall, there has been a significant increase in attendances for IV chemotherapy for Māori in the first four months of 2020 compared to the same time period in 2019. </w:t>
      </w:r>
      <w:r w:rsidR="00A62F80">
        <w:t xml:space="preserve"> </w:t>
      </w:r>
    </w:p>
    <w:p w14:paraId="4A8FEA39" w14:textId="6518C43D" w:rsidR="0074319D" w:rsidRDefault="0074319D" w:rsidP="0074319D">
      <w:pPr>
        <w:pStyle w:val="Caption"/>
        <w:keepNext/>
      </w:pPr>
      <w:bookmarkStart w:id="45" w:name="_Ref41427779"/>
      <w:r>
        <w:t xml:space="preserve">Table </w:t>
      </w:r>
      <w:fldSimple w:instr=" SEQ Table \* ARABIC ">
        <w:r w:rsidR="00CC108E">
          <w:rPr>
            <w:noProof/>
          </w:rPr>
          <w:t>11</w:t>
        </w:r>
      </w:fldSimple>
      <w:bookmarkEnd w:id="45"/>
      <w:r>
        <w:t xml:space="preserve">: </w:t>
      </w:r>
      <w:r w:rsidRPr="00D34E95">
        <w:t>Percentage change in IV chemotherapy attendances in 2020 compared to 2019 by month, and cumulative year to date</w:t>
      </w:r>
    </w:p>
    <w:tbl>
      <w:tblPr>
        <w:tblW w:w="8289" w:type="dxa"/>
        <w:jc w:val="center"/>
        <w:tblLook w:val="04A0" w:firstRow="1" w:lastRow="0" w:firstColumn="1" w:lastColumn="0" w:noHBand="0" w:noVBand="1"/>
      </w:tblPr>
      <w:tblGrid>
        <w:gridCol w:w="2552"/>
        <w:gridCol w:w="597"/>
        <w:gridCol w:w="1285"/>
        <w:gridCol w:w="1285"/>
        <w:gridCol w:w="1285"/>
        <w:gridCol w:w="1285"/>
      </w:tblGrid>
      <w:tr w:rsidR="001F6AA3" w:rsidRPr="001F6AA3" w14:paraId="549F4705" w14:textId="77777777" w:rsidTr="0074319D">
        <w:trPr>
          <w:trHeight w:val="194"/>
          <w:jc w:val="center"/>
        </w:trPr>
        <w:tc>
          <w:tcPr>
            <w:tcW w:w="2552" w:type="dxa"/>
            <w:tcBorders>
              <w:bottom w:val="single" w:sz="4" w:space="0" w:color="auto"/>
              <w:right w:val="single" w:sz="4" w:space="0" w:color="auto"/>
            </w:tcBorders>
            <w:shd w:val="clear" w:color="auto" w:fill="auto"/>
            <w:noWrap/>
            <w:vAlign w:val="bottom"/>
            <w:hideMark/>
          </w:tcPr>
          <w:p w14:paraId="6DA3EE5F" w14:textId="77777777" w:rsidR="001F6AA3" w:rsidRPr="001F6AA3" w:rsidRDefault="001F6AA3" w:rsidP="00A26AAA">
            <w:pPr>
              <w:spacing w:after="0" w:line="240" w:lineRule="auto"/>
              <w:jc w:val="right"/>
              <w:rPr>
                <w:rFonts w:ascii="Times New Roman" w:eastAsia="Times New Roman" w:hAnsi="Times New Roman" w:cs="Times New Roman"/>
                <w:sz w:val="24"/>
                <w:szCs w:val="24"/>
                <w:lang w:eastAsia="en-NZ"/>
              </w:rPr>
            </w:pPr>
          </w:p>
        </w:tc>
        <w:tc>
          <w:tcPr>
            <w:tcW w:w="597" w:type="dxa"/>
            <w:tcBorders>
              <w:left w:val="single" w:sz="4" w:space="0" w:color="auto"/>
              <w:bottom w:val="single" w:sz="4" w:space="0" w:color="auto"/>
            </w:tcBorders>
            <w:shd w:val="clear" w:color="auto" w:fill="auto"/>
            <w:noWrap/>
            <w:vAlign w:val="bottom"/>
            <w:hideMark/>
          </w:tcPr>
          <w:p w14:paraId="44FCA9B9" w14:textId="77777777" w:rsidR="001F6AA3" w:rsidRPr="001F6AA3" w:rsidRDefault="001F6AA3" w:rsidP="00F7692E">
            <w:pPr>
              <w:spacing w:after="0" w:line="240" w:lineRule="auto"/>
              <w:jc w:val="right"/>
              <w:rPr>
                <w:rFonts w:ascii="Calibri" w:eastAsia="Times New Roman" w:hAnsi="Calibri" w:cs="Times New Roman"/>
                <w:color w:val="000000"/>
                <w:lang w:eastAsia="en-NZ"/>
              </w:rPr>
            </w:pPr>
            <w:r w:rsidRPr="001F6AA3">
              <w:rPr>
                <w:rFonts w:ascii="Calibri" w:eastAsia="Times New Roman" w:hAnsi="Calibri" w:cs="Times New Roman"/>
                <w:color w:val="000000"/>
                <w:lang w:eastAsia="en-NZ"/>
              </w:rPr>
              <w:t>Jan</w:t>
            </w:r>
          </w:p>
        </w:tc>
        <w:tc>
          <w:tcPr>
            <w:tcW w:w="1285" w:type="dxa"/>
            <w:tcBorders>
              <w:bottom w:val="single" w:sz="4" w:space="0" w:color="auto"/>
            </w:tcBorders>
            <w:shd w:val="clear" w:color="auto" w:fill="auto"/>
            <w:noWrap/>
            <w:vAlign w:val="bottom"/>
            <w:hideMark/>
          </w:tcPr>
          <w:p w14:paraId="2C07F7BF" w14:textId="77777777" w:rsidR="001F6AA3" w:rsidRPr="001F6AA3" w:rsidRDefault="001F6AA3" w:rsidP="00F7692E">
            <w:pPr>
              <w:spacing w:after="0" w:line="240" w:lineRule="auto"/>
              <w:jc w:val="right"/>
              <w:rPr>
                <w:rFonts w:ascii="Calibri" w:eastAsia="Times New Roman" w:hAnsi="Calibri" w:cs="Times New Roman"/>
                <w:color w:val="000000"/>
                <w:lang w:eastAsia="en-NZ"/>
              </w:rPr>
            </w:pPr>
            <w:r w:rsidRPr="001F6AA3">
              <w:rPr>
                <w:rFonts w:ascii="Calibri" w:eastAsia="Times New Roman" w:hAnsi="Calibri" w:cs="Times New Roman"/>
                <w:color w:val="000000"/>
                <w:lang w:eastAsia="en-NZ"/>
              </w:rPr>
              <w:t>Feb</w:t>
            </w:r>
          </w:p>
        </w:tc>
        <w:tc>
          <w:tcPr>
            <w:tcW w:w="1285" w:type="dxa"/>
            <w:tcBorders>
              <w:bottom w:val="single" w:sz="4" w:space="0" w:color="auto"/>
            </w:tcBorders>
            <w:shd w:val="clear" w:color="auto" w:fill="auto"/>
            <w:noWrap/>
            <w:vAlign w:val="bottom"/>
            <w:hideMark/>
          </w:tcPr>
          <w:p w14:paraId="48B8368C" w14:textId="77777777" w:rsidR="001F6AA3" w:rsidRPr="001F6AA3" w:rsidRDefault="001F6AA3" w:rsidP="00F7692E">
            <w:pPr>
              <w:spacing w:after="0" w:line="240" w:lineRule="auto"/>
              <w:jc w:val="right"/>
              <w:rPr>
                <w:rFonts w:ascii="Calibri" w:eastAsia="Times New Roman" w:hAnsi="Calibri" w:cs="Times New Roman"/>
                <w:color w:val="000000"/>
                <w:lang w:eastAsia="en-NZ"/>
              </w:rPr>
            </w:pPr>
            <w:r w:rsidRPr="001F6AA3">
              <w:rPr>
                <w:rFonts w:ascii="Calibri" w:eastAsia="Times New Roman" w:hAnsi="Calibri" w:cs="Times New Roman"/>
                <w:color w:val="000000"/>
                <w:lang w:eastAsia="en-NZ"/>
              </w:rPr>
              <w:t>March</w:t>
            </w:r>
          </w:p>
        </w:tc>
        <w:tc>
          <w:tcPr>
            <w:tcW w:w="1285" w:type="dxa"/>
            <w:tcBorders>
              <w:bottom w:val="single" w:sz="4" w:space="0" w:color="auto"/>
              <w:right w:val="single" w:sz="12" w:space="0" w:color="auto"/>
            </w:tcBorders>
            <w:shd w:val="clear" w:color="auto" w:fill="auto"/>
            <w:noWrap/>
            <w:vAlign w:val="bottom"/>
            <w:hideMark/>
          </w:tcPr>
          <w:p w14:paraId="5E1182BB" w14:textId="77777777" w:rsidR="001F6AA3" w:rsidRPr="001F6AA3" w:rsidRDefault="001F6AA3" w:rsidP="00F7692E">
            <w:pPr>
              <w:spacing w:after="0" w:line="240" w:lineRule="auto"/>
              <w:jc w:val="right"/>
              <w:rPr>
                <w:rFonts w:ascii="Calibri" w:eastAsia="Times New Roman" w:hAnsi="Calibri" w:cs="Times New Roman"/>
                <w:color w:val="000000"/>
                <w:lang w:eastAsia="en-NZ"/>
              </w:rPr>
            </w:pPr>
            <w:r w:rsidRPr="001F6AA3">
              <w:rPr>
                <w:rFonts w:ascii="Calibri" w:eastAsia="Times New Roman" w:hAnsi="Calibri" w:cs="Times New Roman"/>
                <w:color w:val="000000"/>
                <w:lang w:eastAsia="en-NZ"/>
              </w:rPr>
              <w:t>April</w:t>
            </w:r>
          </w:p>
        </w:tc>
        <w:tc>
          <w:tcPr>
            <w:tcW w:w="1285" w:type="dxa"/>
            <w:tcBorders>
              <w:left w:val="single" w:sz="12" w:space="0" w:color="auto"/>
              <w:bottom w:val="single" w:sz="4" w:space="0" w:color="auto"/>
            </w:tcBorders>
            <w:shd w:val="clear" w:color="auto" w:fill="auto"/>
            <w:noWrap/>
            <w:vAlign w:val="bottom"/>
            <w:hideMark/>
          </w:tcPr>
          <w:p w14:paraId="60D13306" w14:textId="77777777" w:rsidR="001F6AA3" w:rsidRPr="001F6AA3" w:rsidRDefault="001F6AA3" w:rsidP="00F7692E">
            <w:pPr>
              <w:spacing w:after="0" w:line="240" w:lineRule="auto"/>
              <w:jc w:val="right"/>
              <w:rPr>
                <w:rFonts w:ascii="Calibri" w:eastAsia="Times New Roman" w:hAnsi="Calibri" w:cs="Times New Roman"/>
                <w:color w:val="000000"/>
                <w:lang w:eastAsia="en-NZ"/>
              </w:rPr>
            </w:pPr>
            <w:r w:rsidRPr="001F6AA3">
              <w:rPr>
                <w:rFonts w:ascii="Calibri" w:eastAsia="Times New Roman" w:hAnsi="Calibri" w:cs="Times New Roman"/>
                <w:color w:val="000000"/>
                <w:lang w:eastAsia="en-NZ"/>
              </w:rPr>
              <w:t>YTD</w:t>
            </w:r>
          </w:p>
        </w:tc>
      </w:tr>
      <w:tr w:rsidR="00F7692E" w:rsidRPr="001F6AA3" w14:paraId="4B58B363" w14:textId="77777777" w:rsidTr="0074319D">
        <w:trPr>
          <w:trHeight w:val="194"/>
          <w:jc w:val="center"/>
        </w:trPr>
        <w:tc>
          <w:tcPr>
            <w:tcW w:w="2552" w:type="dxa"/>
            <w:tcBorders>
              <w:top w:val="single" w:sz="4" w:space="0" w:color="auto"/>
              <w:right w:val="single" w:sz="4" w:space="0" w:color="auto"/>
            </w:tcBorders>
            <w:shd w:val="clear" w:color="auto" w:fill="auto"/>
            <w:noWrap/>
            <w:vAlign w:val="bottom"/>
            <w:hideMark/>
          </w:tcPr>
          <w:p w14:paraId="7D745C7C" w14:textId="5602DE97" w:rsidR="00F7692E" w:rsidRPr="001F6AA3" w:rsidRDefault="00F7692E" w:rsidP="00A26AAA">
            <w:pPr>
              <w:spacing w:after="0" w:line="240" w:lineRule="auto"/>
              <w:jc w:val="right"/>
              <w:rPr>
                <w:rFonts w:ascii="Calibri" w:eastAsia="Times New Roman" w:hAnsi="Calibri" w:cs="Times New Roman"/>
                <w:color w:val="000000"/>
                <w:lang w:eastAsia="en-NZ"/>
              </w:rPr>
            </w:pPr>
            <w:r w:rsidRPr="001F6AA3">
              <w:rPr>
                <w:rFonts w:ascii="Calibri" w:eastAsia="Times New Roman" w:hAnsi="Calibri" w:cs="Times New Roman"/>
                <w:color w:val="000000"/>
                <w:lang w:eastAsia="en-NZ"/>
              </w:rPr>
              <w:t>Māori</w:t>
            </w:r>
          </w:p>
        </w:tc>
        <w:tc>
          <w:tcPr>
            <w:tcW w:w="597" w:type="dxa"/>
            <w:tcBorders>
              <w:top w:val="single" w:sz="4" w:space="0" w:color="auto"/>
              <w:left w:val="single" w:sz="4" w:space="0" w:color="auto"/>
            </w:tcBorders>
            <w:shd w:val="clear" w:color="auto" w:fill="auto"/>
            <w:noWrap/>
            <w:vAlign w:val="bottom"/>
          </w:tcPr>
          <w:p w14:paraId="740D00CC" w14:textId="7BC5A4EA" w:rsidR="00F7692E" w:rsidRPr="001F6AA3" w:rsidRDefault="00F7692E" w:rsidP="00F7692E">
            <w:pPr>
              <w:spacing w:after="0" w:line="240" w:lineRule="auto"/>
              <w:jc w:val="right"/>
              <w:rPr>
                <w:rFonts w:ascii="Calibri" w:eastAsia="Times New Roman" w:hAnsi="Calibri" w:cs="Times New Roman"/>
                <w:color w:val="000000"/>
                <w:lang w:eastAsia="en-NZ"/>
              </w:rPr>
            </w:pPr>
            <w:r w:rsidRPr="001F6AA3">
              <w:rPr>
                <w:rFonts w:ascii="Calibri" w:eastAsia="Times New Roman" w:hAnsi="Calibri" w:cs="Times New Roman"/>
                <w:color w:val="000000"/>
                <w:lang w:eastAsia="en-NZ"/>
              </w:rPr>
              <w:t>2</w:t>
            </w:r>
            <w:r w:rsidR="005D746B">
              <w:rPr>
                <w:rFonts w:ascii="Calibri" w:eastAsia="Times New Roman" w:hAnsi="Calibri" w:cs="Times New Roman"/>
                <w:color w:val="000000"/>
                <w:lang w:eastAsia="en-NZ"/>
              </w:rPr>
              <w:t>1</w:t>
            </w:r>
            <w:r w:rsidRPr="001F6AA3">
              <w:rPr>
                <w:rFonts w:ascii="Calibri" w:eastAsia="Times New Roman" w:hAnsi="Calibri" w:cs="Times New Roman"/>
                <w:color w:val="000000"/>
                <w:lang w:eastAsia="en-NZ"/>
              </w:rPr>
              <w:t>%</w:t>
            </w:r>
          </w:p>
        </w:tc>
        <w:tc>
          <w:tcPr>
            <w:tcW w:w="1285" w:type="dxa"/>
            <w:tcBorders>
              <w:top w:val="single" w:sz="4" w:space="0" w:color="auto"/>
            </w:tcBorders>
            <w:shd w:val="clear" w:color="auto" w:fill="auto"/>
            <w:noWrap/>
            <w:vAlign w:val="bottom"/>
          </w:tcPr>
          <w:p w14:paraId="31E486C6" w14:textId="1441441F" w:rsidR="00F7692E" w:rsidRPr="001F6AA3" w:rsidRDefault="00F7692E" w:rsidP="00F7692E">
            <w:pPr>
              <w:spacing w:after="0" w:line="240" w:lineRule="auto"/>
              <w:jc w:val="right"/>
              <w:rPr>
                <w:rFonts w:ascii="Calibri" w:eastAsia="Times New Roman" w:hAnsi="Calibri" w:cs="Times New Roman"/>
                <w:color w:val="000000"/>
                <w:lang w:eastAsia="en-NZ"/>
              </w:rPr>
            </w:pPr>
            <w:r w:rsidRPr="001F6AA3">
              <w:rPr>
                <w:rFonts w:ascii="Calibri" w:eastAsia="Times New Roman" w:hAnsi="Calibri" w:cs="Times New Roman"/>
                <w:color w:val="000000"/>
                <w:lang w:eastAsia="en-NZ"/>
              </w:rPr>
              <w:t>1</w:t>
            </w:r>
            <w:r w:rsidR="005D746B">
              <w:rPr>
                <w:rFonts w:ascii="Calibri" w:eastAsia="Times New Roman" w:hAnsi="Calibri" w:cs="Times New Roman"/>
                <w:color w:val="000000"/>
                <w:lang w:eastAsia="en-NZ"/>
              </w:rPr>
              <w:t>2</w:t>
            </w:r>
            <w:r w:rsidRPr="001F6AA3">
              <w:rPr>
                <w:rFonts w:ascii="Calibri" w:eastAsia="Times New Roman" w:hAnsi="Calibri" w:cs="Times New Roman"/>
                <w:color w:val="000000"/>
                <w:lang w:eastAsia="en-NZ"/>
              </w:rPr>
              <w:t>%</w:t>
            </w:r>
          </w:p>
        </w:tc>
        <w:tc>
          <w:tcPr>
            <w:tcW w:w="1285" w:type="dxa"/>
            <w:tcBorders>
              <w:top w:val="single" w:sz="4" w:space="0" w:color="auto"/>
            </w:tcBorders>
            <w:shd w:val="clear" w:color="auto" w:fill="auto"/>
            <w:noWrap/>
            <w:vAlign w:val="bottom"/>
          </w:tcPr>
          <w:p w14:paraId="27132CBA" w14:textId="59F4F26C" w:rsidR="00F7692E" w:rsidRPr="001F6AA3" w:rsidRDefault="00F7692E" w:rsidP="00F7692E">
            <w:pPr>
              <w:spacing w:after="0" w:line="240" w:lineRule="auto"/>
              <w:jc w:val="right"/>
              <w:rPr>
                <w:rFonts w:ascii="Calibri" w:eastAsia="Times New Roman" w:hAnsi="Calibri" w:cs="Times New Roman"/>
                <w:color w:val="000000"/>
                <w:lang w:eastAsia="en-NZ"/>
              </w:rPr>
            </w:pPr>
            <w:r w:rsidRPr="001F6AA3">
              <w:rPr>
                <w:rFonts w:ascii="Calibri" w:eastAsia="Times New Roman" w:hAnsi="Calibri" w:cs="Times New Roman"/>
                <w:color w:val="000000"/>
                <w:lang w:eastAsia="en-NZ"/>
              </w:rPr>
              <w:t>1</w:t>
            </w:r>
            <w:r w:rsidR="005D746B">
              <w:rPr>
                <w:rFonts w:ascii="Calibri" w:eastAsia="Times New Roman" w:hAnsi="Calibri" w:cs="Times New Roman"/>
                <w:color w:val="000000"/>
                <w:lang w:eastAsia="en-NZ"/>
              </w:rPr>
              <w:t>1</w:t>
            </w:r>
            <w:r w:rsidRPr="001F6AA3">
              <w:rPr>
                <w:rFonts w:ascii="Calibri" w:eastAsia="Times New Roman" w:hAnsi="Calibri" w:cs="Times New Roman"/>
                <w:color w:val="000000"/>
                <w:lang w:eastAsia="en-NZ"/>
              </w:rPr>
              <w:t>%</w:t>
            </w:r>
          </w:p>
        </w:tc>
        <w:tc>
          <w:tcPr>
            <w:tcW w:w="1285" w:type="dxa"/>
            <w:tcBorders>
              <w:top w:val="single" w:sz="4" w:space="0" w:color="auto"/>
              <w:right w:val="single" w:sz="12" w:space="0" w:color="auto"/>
            </w:tcBorders>
            <w:shd w:val="clear" w:color="auto" w:fill="auto"/>
            <w:noWrap/>
            <w:vAlign w:val="bottom"/>
          </w:tcPr>
          <w:p w14:paraId="25A7AA66" w14:textId="49165B46" w:rsidR="00F7692E" w:rsidRPr="001F6AA3" w:rsidRDefault="00F7692E" w:rsidP="00F7692E">
            <w:pPr>
              <w:spacing w:after="0" w:line="240" w:lineRule="auto"/>
              <w:jc w:val="right"/>
              <w:rPr>
                <w:rFonts w:ascii="Calibri" w:eastAsia="Times New Roman" w:hAnsi="Calibri" w:cs="Times New Roman"/>
                <w:color w:val="000000"/>
                <w:lang w:eastAsia="en-NZ"/>
              </w:rPr>
            </w:pPr>
            <w:r w:rsidRPr="001F6AA3">
              <w:rPr>
                <w:rFonts w:ascii="Calibri" w:eastAsia="Times New Roman" w:hAnsi="Calibri" w:cs="Times New Roman"/>
                <w:color w:val="000000"/>
                <w:lang w:eastAsia="en-NZ"/>
              </w:rPr>
              <w:t>1</w:t>
            </w:r>
            <w:r w:rsidR="005D746B">
              <w:rPr>
                <w:rFonts w:ascii="Calibri" w:eastAsia="Times New Roman" w:hAnsi="Calibri" w:cs="Times New Roman"/>
                <w:color w:val="000000"/>
                <w:lang w:eastAsia="en-NZ"/>
              </w:rPr>
              <w:t>6</w:t>
            </w:r>
            <w:r w:rsidRPr="001F6AA3">
              <w:rPr>
                <w:rFonts w:ascii="Calibri" w:eastAsia="Times New Roman" w:hAnsi="Calibri" w:cs="Times New Roman"/>
                <w:color w:val="000000"/>
                <w:lang w:eastAsia="en-NZ"/>
              </w:rPr>
              <w:t>%</w:t>
            </w:r>
          </w:p>
        </w:tc>
        <w:tc>
          <w:tcPr>
            <w:tcW w:w="1285" w:type="dxa"/>
            <w:tcBorders>
              <w:top w:val="single" w:sz="4" w:space="0" w:color="auto"/>
              <w:left w:val="single" w:sz="12" w:space="0" w:color="auto"/>
            </w:tcBorders>
            <w:shd w:val="clear" w:color="auto" w:fill="auto"/>
            <w:noWrap/>
            <w:vAlign w:val="bottom"/>
          </w:tcPr>
          <w:p w14:paraId="2C40C1D4" w14:textId="5A4E042D" w:rsidR="00F7692E" w:rsidRPr="001F6AA3" w:rsidRDefault="00F7692E" w:rsidP="00F7692E">
            <w:pPr>
              <w:spacing w:after="0" w:line="240" w:lineRule="auto"/>
              <w:jc w:val="right"/>
              <w:rPr>
                <w:rFonts w:ascii="Calibri" w:eastAsia="Times New Roman" w:hAnsi="Calibri" w:cs="Times New Roman"/>
                <w:color w:val="000000"/>
                <w:lang w:eastAsia="en-NZ"/>
              </w:rPr>
            </w:pPr>
            <w:r w:rsidRPr="001F6AA3">
              <w:rPr>
                <w:rFonts w:ascii="Calibri" w:eastAsia="Times New Roman" w:hAnsi="Calibri" w:cs="Times New Roman"/>
                <w:color w:val="000000"/>
                <w:lang w:eastAsia="en-NZ"/>
              </w:rPr>
              <w:t>14%</w:t>
            </w:r>
          </w:p>
        </w:tc>
      </w:tr>
      <w:tr w:rsidR="00F7692E" w:rsidRPr="001F6AA3" w14:paraId="48C4D70F" w14:textId="77777777" w:rsidTr="0074319D">
        <w:trPr>
          <w:trHeight w:val="194"/>
          <w:jc w:val="center"/>
        </w:trPr>
        <w:tc>
          <w:tcPr>
            <w:tcW w:w="2552" w:type="dxa"/>
            <w:tcBorders>
              <w:bottom w:val="single" w:sz="18" w:space="0" w:color="auto"/>
              <w:right w:val="single" w:sz="4" w:space="0" w:color="auto"/>
            </w:tcBorders>
            <w:shd w:val="clear" w:color="auto" w:fill="auto"/>
            <w:noWrap/>
            <w:vAlign w:val="bottom"/>
            <w:hideMark/>
          </w:tcPr>
          <w:p w14:paraId="24E6C0D9" w14:textId="2A0F2FA4" w:rsidR="00F7692E" w:rsidRPr="001F6AA3" w:rsidRDefault="00F7692E" w:rsidP="00A26AAA">
            <w:pPr>
              <w:spacing w:after="0" w:line="240" w:lineRule="auto"/>
              <w:jc w:val="right"/>
              <w:rPr>
                <w:rFonts w:ascii="Calibri" w:eastAsia="Times New Roman" w:hAnsi="Calibri" w:cs="Times New Roman"/>
                <w:color w:val="000000"/>
                <w:lang w:eastAsia="en-NZ"/>
              </w:rPr>
            </w:pPr>
            <w:r>
              <w:rPr>
                <w:rFonts w:ascii="Calibri" w:eastAsia="Times New Roman" w:hAnsi="Calibri" w:cs="Times New Roman"/>
                <w:color w:val="000000"/>
                <w:lang w:eastAsia="en-NZ"/>
              </w:rPr>
              <w:t>Non-</w:t>
            </w:r>
            <w:r w:rsidRPr="001F6AA3">
              <w:rPr>
                <w:rFonts w:ascii="Calibri" w:eastAsia="Times New Roman" w:hAnsi="Calibri" w:cs="Times New Roman"/>
                <w:color w:val="000000"/>
                <w:lang w:eastAsia="en-NZ"/>
              </w:rPr>
              <w:t>Māori</w:t>
            </w:r>
            <w:r>
              <w:rPr>
                <w:rFonts w:ascii="Calibri" w:eastAsia="Times New Roman" w:hAnsi="Calibri" w:cs="Times New Roman"/>
                <w:color w:val="000000"/>
                <w:lang w:eastAsia="en-NZ"/>
              </w:rPr>
              <w:t>/Non-Pacific</w:t>
            </w:r>
          </w:p>
        </w:tc>
        <w:tc>
          <w:tcPr>
            <w:tcW w:w="597" w:type="dxa"/>
            <w:tcBorders>
              <w:left w:val="single" w:sz="4" w:space="0" w:color="auto"/>
              <w:bottom w:val="single" w:sz="18" w:space="0" w:color="auto"/>
            </w:tcBorders>
            <w:shd w:val="clear" w:color="auto" w:fill="auto"/>
            <w:noWrap/>
            <w:vAlign w:val="bottom"/>
          </w:tcPr>
          <w:p w14:paraId="4380FD2E" w14:textId="7F69C31E" w:rsidR="00F7692E" w:rsidRPr="001F6AA3" w:rsidRDefault="005D746B" w:rsidP="00F7692E">
            <w:pPr>
              <w:spacing w:after="0" w:line="240" w:lineRule="auto"/>
              <w:jc w:val="right"/>
              <w:rPr>
                <w:rFonts w:ascii="Calibri" w:eastAsia="Times New Roman" w:hAnsi="Calibri" w:cs="Times New Roman"/>
                <w:color w:val="000000"/>
                <w:lang w:eastAsia="en-NZ"/>
              </w:rPr>
            </w:pPr>
            <w:r>
              <w:rPr>
                <w:rFonts w:ascii="Calibri" w:eastAsia="Times New Roman" w:hAnsi="Calibri" w:cs="Times New Roman"/>
                <w:color w:val="000000"/>
                <w:lang w:eastAsia="en-NZ"/>
              </w:rPr>
              <w:t>7%</w:t>
            </w:r>
          </w:p>
        </w:tc>
        <w:tc>
          <w:tcPr>
            <w:tcW w:w="1285" w:type="dxa"/>
            <w:tcBorders>
              <w:bottom w:val="single" w:sz="18" w:space="0" w:color="auto"/>
            </w:tcBorders>
            <w:shd w:val="clear" w:color="auto" w:fill="auto"/>
            <w:noWrap/>
            <w:vAlign w:val="bottom"/>
          </w:tcPr>
          <w:p w14:paraId="467D97F7" w14:textId="22B4B2E2" w:rsidR="00F7692E" w:rsidRPr="001F6AA3" w:rsidRDefault="005D746B" w:rsidP="00F7692E">
            <w:pPr>
              <w:spacing w:after="0" w:line="240" w:lineRule="auto"/>
              <w:jc w:val="right"/>
              <w:rPr>
                <w:rFonts w:ascii="Calibri" w:eastAsia="Times New Roman" w:hAnsi="Calibri" w:cs="Times New Roman"/>
                <w:color w:val="000000"/>
                <w:lang w:eastAsia="en-NZ"/>
              </w:rPr>
            </w:pPr>
            <w:r>
              <w:rPr>
                <w:rFonts w:ascii="Calibri" w:eastAsia="Times New Roman" w:hAnsi="Calibri" w:cs="Times New Roman"/>
                <w:color w:val="000000"/>
                <w:lang w:eastAsia="en-NZ"/>
              </w:rPr>
              <w:t>3%</w:t>
            </w:r>
          </w:p>
        </w:tc>
        <w:tc>
          <w:tcPr>
            <w:tcW w:w="1285" w:type="dxa"/>
            <w:tcBorders>
              <w:bottom w:val="single" w:sz="18" w:space="0" w:color="auto"/>
            </w:tcBorders>
            <w:shd w:val="clear" w:color="auto" w:fill="auto"/>
            <w:noWrap/>
            <w:vAlign w:val="bottom"/>
          </w:tcPr>
          <w:p w14:paraId="5B3BB8CB" w14:textId="5F554F74" w:rsidR="00F7692E" w:rsidRPr="001F6AA3" w:rsidRDefault="005D746B" w:rsidP="00F7692E">
            <w:pPr>
              <w:spacing w:after="0" w:line="240" w:lineRule="auto"/>
              <w:jc w:val="right"/>
              <w:rPr>
                <w:rFonts w:ascii="Calibri" w:eastAsia="Times New Roman" w:hAnsi="Calibri" w:cs="Times New Roman"/>
                <w:color w:val="000000"/>
                <w:lang w:eastAsia="en-NZ"/>
              </w:rPr>
            </w:pPr>
            <w:r>
              <w:rPr>
                <w:rFonts w:ascii="Calibri" w:eastAsia="Times New Roman" w:hAnsi="Calibri" w:cs="Times New Roman"/>
                <w:color w:val="000000"/>
                <w:lang w:eastAsia="en-NZ"/>
              </w:rPr>
              <w:t>6%</w:t>
            </w:r>
          </w:p>
        </w:tc>
        <w:tc>
          <w:tcPr>
            <w:tcW w:w="1285" w:type="dxa"/>
            <w:tcBorders>
              <w:bottom w:val="single" w:sz="18" w:space="0" w:color="auto"/>
              <w:right w:val="single" w:sz="12" w:space="0" w:color="auto"/>
            </w:tcBorders>
            <w:shd w:val="clear" w:color="auto" w:fill="auto"/>
            <w:noWrap/>
            <w:vAlign w:val="bottom"/>
          </w:tcPr>
          <w:p w14:paraId="1D2D2A53" w14:textId="5666333A" w:rsidR="00F7692E" w:rsidRPr="001F6AA3" w:rsidRDefault="005D746B" w:rsidP="00F7692E">
            <w:pPr>
              <w:spacing w:after="0" w:line="240" w:lineRule="auto"/>
              <w:jc w:val="right"/>
              <w:rPr>
                <w:rFonts w:ascii="Calibri" w:eastAsia="Times New Roman" w:hAnsi="Calibri" w:cs="Times New Roman"/>
                <w:color w:val="000000"/>
                <w:lang w:eastAsia="en-NZ"/>
              </w:rPr>
            </w:pPr>
            <w:r>
              <w:rPr>
                <w:rFonts w:ascii="Calibri" w:eastAsia="Times New Roman" w:hAnsi="Calibri" w:cs="Times New Roman"/>
                <w:color w:val="000000"/>
                <w:lang w:eastAsia="en-NZ"/>
              </w:rPr>
              <w:t>-6%</w:t>
            </w:r>
          </w:p>
        </w:tc>
        <w:tc>
          <w:tcPr>
            <w:tcW w:w="1285" w:type="dxa"/>
            <w:tcBorders>
              <w:left w:val="single" w:sz="12" w:space="0" w:color="auto"/>
              <w:bottom w:val="single" w:sz="18" w:space="0" w:color="auto"/>
            </w:tcBorders>
            <w:shd w:val="clear" w:color="auto" w:fill="auto"/>
            <w:noWrap/>
            <w:vAlign w:val="bottom"/>
          </w:tcPr>
          <w:p w14:paraId="68BD7F2D" w14:textId="201F2BB2" w:rsidR="00F7692E" w:rsidRPr="001F6AA3" w:rsidRDefault="005D746B" w:rsidP="00F7692E">
            <w:pPr>
              <w:spacing w:after="0" w:line="240" w:lineRule="auto"/>
              <w:jc w:val="right"/>
              <w:rPr>
                <w:rFonts w:ascii="Calibri" w:eastAsia="Times New Roman" w:hAnsi="Calibri" w:cs="Times New Roman"/>
                <w:color w:val="000000"/>
                <w:lang w:eastAsia="en-NZ"/>
              </w:rPr>
            </w:pPr>
            <w:r>
              <w:rPr>
                <w:rFonts w:ascii="Calibri" w:eastAsia="Times New Roman" w:hAnsi="Calibri" w:cs="Times New Roman"/>
                <w:color w:val="000000"/>
                <w:lang w:eastAsia="en-NZ"/>
              </w:rPr>
              <w:t>1%</w:t>
            </w:r>
          </w:p>
        </w:tc>
      </w:tr>
      <w:tr w:rsidR="00F7692E" w:rsidRPr="001F6AA3" w14:paraId="01882A14" w14:textId="77777777" w:rsidTr="0074319D">
        <w:trPr>
          <w:trHeight w:val="70"/>
          <w:jc w:val="center"/>
        </w:trPr>
        <w:tc>
          <w:tcPr>
            <w:tcW w:w="2552" w:type="dxa"/>
            <w:tcBorders>
              <w:top w:val="single" w:sz="18" w:space="0" w:color="auto"/>
              <w:bottom w:val="single" w:sz="4" w:space="0" w:color="auto"/>
              <w:right w:val="single" w:sz="4" w:space="0" w:color="auto"/>
            </w:tcBorders>
            <w:shd w:val="clear" w:color="auto" w:fill="auto"/>
            <w:noWrap/>
            <w:vAlign w:val="bottom"/>
          </w:tcPr>
          <w:p w14:paraId="11F75EC4" w14:textId="4BC60D70" w:rsidR="00F7692E" w:rsidRPr="001F6AA3" w:rsidRDefault="00F7692E" w:rsidP="00A26AAA">
            <w:pPr>
              <w:spacing w:after="0" w:line="240" w:lineRule="auto"/>
              <w:jc w:val="right"/>
              <w:rPr>
                <w:rFonts w:ascii="Calibri" w:eastAsia="Times New Roman" w:hAnsi="Calibri" w:cs="Times New Roman"/>
                <w:color w:val="000000"/>
                <w:lang w:eastAsia="en-NZ"/>
              </w:rPr>
            </w:pPr>
            <w:r>
              <w:rPr>
                <w:rFonts w:ascii="Calibri" w:eastAsia="Times New Roman" w:hAnsi="Calibri" w:cs="Times New Roman"/>
                <w:color w:val="000000"/>
                <w:lang w:eastAsia="en-NZ"/>
              </w:rPr>
              <w:t>Total</w:t>
            </w:r>
          </w:p>
        </w:tc>
        <w:tc>
          <w:tcPr>
            <w:tcW w:w="597" w:type="dxa"/>
            <w:tcBorders>
              <w:top w:val="single" w:sz="18" w:space="0" w:color="auto"/>
              <w:left w:val="single" w:sz="4" w:space="0" w:color="auto"/>
              <w:bottom w:val="single" w:sz="4" w:space="0" w:color="auto"/>
            </w:tcBorders>
            <w:shd w:val="clear" w:color="auto" w:fill="auto"/>
            <w:noWrap/>
            <w:vAlign w:val="bottom"/>
          </w:tcPr>
          <w:p w14:paraId="59FB4591" w14:textId="4D2A38FE" w:rsidR="00F7692E" w:rsidRPr="001F6AA3" w:rsidRDefault="00F7692E" w:rsidP="00F7692E">
            <w:pPr>
              <w:spacing w:after="0" w:line="240" w:lineRule="auto"/>
              <w:jc w:val="right"/>
              <w:rPr>
                <w:rFonts w:ascii="Calibri" w:eastAsia="Times New Roman" w:hAnsi="Calibri" w:cs="Times New Roman"/>
                <w:color w:val="000000"/>
                <w:lang w:eastAsia="en-NZ"/>
              </w:rPr>
            </w:pPr>
            <w:r w:rsidRPr="001F6AA3">
              <w:rPr>
                <w:rFonts w:ascii="Calibri" w:eastAsia="Times New Roman" w:hAnsi="Calibri" w:cs="Times New Roman"/>
                <w:color w:val="000000"/>
                <w:lang w:eastAsia="en-NZ"/>
              </w:rPr>
              <w:t>8%</w:t>
            </w:r>
          </w:p>
        </w:tc>
        <w:tc>
          <w:tcPr>
            <w:tcW w:w="1285" w:type="dxa"/>
            <w:tcBorders>
              <w:top w:val="single" w:sz="18" w:space="0" w:color="auto"/>
              <w:bottom w:val="single" w:sz="4" w:space="0" w:color="auto"/>
            </w:tcBorders>
            <w:shd w:val="clear" w:color="auto" w:fill="auto"/>
            <w:noWrap/>
            <w:vAlign w:val="bottom"/>
          </w:tcPr>
          <w:p w14:paraId="17A8A6A4" w14:textId="67D93E84" w:rsidR="00F7692E" w:rsidRPr="001F6AA3" w:rsidRDefault="00F7692E" w:rsidP="00F7692E">
            <w:pPr>
              <w:spacing w:after="0" w:line="240" w:lineRule="auto"/>
              <w:jc w:val="right"/>
              <w:rPr>
                <w:rFonts w:ascii="Calibri" w:eastAsia="Times New Roman" w:hAnsi="Calibri" w:cs="Times New Roman"/>
                <w:color w:val="000000"/>
                <w:lang w:eastAsia="en-NZ"/>
              </w:rPr>
            </w:pPr>
            <w:r w:rsidRPr="001F6AA3">
              <w:rPr>
                <w:rFonts w:ascii="Calibri" w:eastAsia="Times New Roman" w:hAnsi="Calibri" w:cs="Times New Roman"/>
                <w:color w:val="000000"/>
                <w:lang w:eastAsia="en-NZ"/>
              </w:rPr>
              <w:t>4%</w:t>
            </w:r>
          </w:p>
        </w:tc>
        <w:tc>
          <w:tcPr>
            <w:tcW w:w="1285" w:type="dxa"/>
            <w:tcBorders>
              <w:top w:val="single" w:sz="18" w:space="0" w:color="auto"/>
              <w:bottom w:val="single" w:sz="4" w:space="0" w:color="auto"/>
            </w:tcBorders>
            <w:shd w:val="clear" w:color="auto" w:fill="auto"/>
            <w:noWrap/>
            <w:vAlign w:val="bottom"/>
          </w:tcPr>
          <w:p w14:paraId="3C0DA8B0" w14:textId="14402A6B" w:rsidR="00F7692E" w:rsidRPr="001F6AA3" w:rsidRDefault="00F7692E" w:rsidP="00F7692E">
            <w:pPr>
              <w:spacing w:after="0" w:line="240" w:lineRule="auto"/>
              <w:jc w:val="right"/>
              <w:rPr>
                <w:rFonts w:ascii="Calibri" w:eastAsia="Times New Roman" w:hAnsi="Calibri" w:cs="Times New Roman"/>
                <w:color w:val="000000"/>
                <w:lang w:eastAsia="en-NZ"/>
              </w:rPr>
            </w:pPr>
            <w:r w:rsidRPr="001F6AA3">
              <w:rPr>
                <w:rFonts w:ascii="Calibri" w:eastAsia="Times New Roman" w:hAnsi="Calibri" w:cs="Times New Roman"/>
                <w:color w:val="000000"/>
                <w:lang w:eastAsia="en-NZ"/>
              </w:rPr>
              <w:t>6%</w:t>
            </w:r>
          </w:p>
        </w:tc>
        <w:tc>
          <w:tcPr>
            <w:tcW w:w="1285" w:type="dxa"/>
            <w:tcBorders>
              <w:top w:val="single" w:sz="18" w:space="0" w:color="auto"/>
              <w:bottom w:val="single" w:sz="4" w:space="0" w:color="auto"/>
              <w:right w:val="single" w:sz="12" w:space="0" w:color="auto"/>
            </w:tcBorders>
            <w:shd w:val="clear" w:color="auto" w:fill="auto"/>
            <w:noWrap/>
            <w:vAlign w:val="bottom"/>
          </w:tcPr>
          <w:p w14:paraId="730D29DF" w14:textId="2427D39A" w:rsidR="00F7692E" w:rsidRPr="001F6AA3" w:rsidRDefault="00F7692E" w:rsidP="00F7692E">
            <w:pPr>
              <w:spacing w:after="0" w:line="240" w:lineRule="auto"/>
              <w:jc w:val="right"/>
              <w:rPr>
                <w:rFonts w:ascii="Calibri" w:eastAsia="Times New Roman" w:hAnsi="Calibri" w:cs="Times New Roman"/>
                <w:color w:val="000000"/>
                <w:lang w:eastAsia="en-NZ"/>
              </w:rPr>
            </w:pPr>
            <w:r w:rsidRPr="001F6AA3">
              <w:rPr>
                <w:rFonts w:ascii="Calibri" w:eastAsia="Times New Roman" w:hAnsi="Calibri" w:cs="Times New Roman"/>
                <w:color w:val="000000"/>
                <w:lang w:eastAsia="en-NZ"/>
              </w:rPr>
              <w:t>-</w:t>
            </w:r>
            <w:r w:rsidR="005D746B">
              <w:rPr>
                <w:rFonts w:ascii="Calibri" w:eastAsia="Times New Roman" w:hAnsi="Calibri" w:cs="Times New Roman"/>
                <w:color w:val="000000"/>
                <w:lang w:eastAsia="en-NZ"/>
              </w:rPr>
              <w:t>3</w:t>
            </w:r>
            <w:r w:rsidRPr="001F6AA3">
              <w:rPr>
                <w:rFonts w:ascii="Calibri" w:eastAsia="Times New Roman" w:hAnsi="Calibri" w:cs="Times New Roman"/>
                <w:color w:val="000000"/>
                <w:lang w:eastAsia="en-NZ"/>
              </w:rPr>
              <w:t>%</w:t>
            </w:r>
          </w:p>
        </w:tc>
        <w:tc>
          <w:tcPr>
            <w:tcW w:w="1285" w:type="dxa"/>
            <w:tcBorders>
              <w:top w:val="single" w:sz="18" w:space="0" w:color="auto"/>
              <w:left w:val="single" w:sz="12" w:space="0" w:color="auto"/>
              <w:bottom w:val="single" w:sz="4" w:space="0" w:color="auto"/>
            </w:tcBorders>
            <w:shd w:val="clear" w:color="auto" w:fill="auto"/>
            <w:noWrap/>
            <w:vAlign w:val="bottom"/>
          </w:tcPr>
          <w:p w14:paraId="5B0C4A38" w14:textId="54AA246F" w:rsidR="00F7692E" w:rsidRPr="001F6AA3" w:rsidRDefault="00F7692E" w:rsidP="00A62F80">
            <w:pPr>
              <w:keepNext/>
              <w:spacing w:after="0" w:line="240" w:lineRule="auto"/>
              <w:jc w:val="right"/>
              <w:rPr>
                <w:rFonts w:ascii="Calibri" w:eastAsia="Times New Roman" w:hAnsi="Calibri" w:cs="Times New Roman"/>
                <w:color w:val="000000"/>
                <w:lang w:eastAsia="en-NZ"/>
              </w:rPr>
            </w:pPr>
            <w:r w:rsidRPr="001F6AA3">
              <w:rPr>
                <w:rFonts w:ascii="Calibri" w:eastAsia="Times New Roman" w:hAnsi="Calibri" w:cs="Times New Roman"/>
                <w:color w:val="000000"/>
                <w:lang w:eastAsia="en-NZ"/>
              </w:rPr>
              <w:t>2%</w:t>
            </w:r>
          </w:p>
        </w:tc>
      </w:tr>
    </w:tbl>
    <w:p w14:paraId="1B648AF4" w14:textId="786A9ED2" w:rsidR="0074319D" w:rsidRDefault="0074319D" w:rsidP="0074319D">
      <w:pPr>
        <w:pStyle w:val="Caption"/>
        <w:keepNext/>
      </w:pPr>
      <w:r>
        <w:lastRenderedPageBreak/>
        <w:t xml:space="preserve">Figure </w:t>
      </w:r>
      <w:fldSimple w:instr=" SEQ Figure \* ARABIC ">
        <w:r w:rsidR="00CC108E">
          <w:rPr>
            <w:noProof/>
          </w:rPr>
          <w:t>21</w:t>
        </w:r>
      </w:fldSimple>
      <w:r>
        <w:t xml:space="preserve">: </w:t>
      </w:r>
      <w:r w:rsidRPr="00B12030">
        <w:t xml:space="preserve">Number </w:t>
      </w:r>
      <w:r w:rsidR="00900343">
        <w:t xml:space="preserve">of </w:t>
      </w:r>
      <w:r>
        <w:t>attendances for IV chemotherapy</w:t>
      </w:r>
      <w:r w:rsidRPr="00B12030">
        <w:t xml:space="preserve"> by month and year, </w:t>
      </w:r>
      <w:r>
        <w:t xml:space="preserve">for the </w:t>
      </w:r>
      <w:r w:rsidRPr="00B12030">
        <w:t>total population (left) and for Māori (right)</w:t>
      </w:r>
    </w:p>
    <w:p w14:paraId="47B6EEF7" w14:textId="328BE148" w:rsidR="001F6AA3" w:rsidRDefault="005D746B" w:rsidP="001F6AA3">
      <w:r>
        <w:rPr>
          <w:noProof/>
        </w:rPr>
        <w:drawing>
          <wp:inline distT="0" distB="0" distL="0" distR="0" wp14:anchorId="4458AEFD" wp14:editId="365BF5FD">
            <wp:extent cx="3053301" cy="2752725"/>
            <wp:effectExtent l="0" t="0" r="13970" b="9525"/>
            <wp:docPr id="46" name="Chart 46">
              <a:extLst xmlns:a="http://schemas.openxmlformats.org/drawingml/2006/main">
                <a:ext uri="{FF2B5EF4-FFF2-40B4-BE49-F238E27FC236}">
                  <a16:creationId xmlns:a16="http://schemas.microsoft.com/office/drawing/2014/main" id="{F4D309BB-3864-400E-9477-BBB9212DA5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noProof/>
        </w:rPr>
        <w:drawing>
          <wp:inline distT="0" distB="0" distL="0" distR="0" wp14:anchorId="3B4E4AE4" wp14:editId="74A1429B">
            <wp:extent cx="3093057" cy="2752725"/>
            <wp:effectExtent l="0" t="0" r="12700" b="9525"/>
            <wp:docPr id="47" name="Chart 47">
              <a:extLst xmlns:a="http://schemas.openxmlformats.org/drawingml/2006/main">
                <a:ext uri="{FF2B5EF4-FFF2-40B4-BE49-F238E27FC236}">
                  <a16:creationId xmlns:a16="http://schemas.microsoft.com/office/drawing/2014/main" id="{8EB3C721-F9B2-4715-9F3C-5F77FA4FE5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F12B54C" w14:textId="0CD90140" w:rsidR="0074319D" w:rsidRDefault="0074319D" w:rsidP="0074319D">
      <w:pPr>
        <w:pStyle w:val="Caption"/>
        <w:keepNext/>
      </w:pPr>
      <w:r>
        <w:t xml:space="preserve">Figure </w:t>
      </w:r>
      <w:fldSimple w:instr=" SEQ Figure \* ARABIC ">
        <w:r w:rsidR="00CC108E">
          <w:rPr>
            <w:noProof/>
          </w:rPr>
          <w:t>22</w:t>
        </w:r>
      </w:fldSimple>
      <w:r>
        <w:t>: Cumulative n</w:t>
      </w:r>
      <w:r w:rsidRPr="00B12030">
        <w:t xml:space="preserve">umber </w:t>
      </w:r>
      <w:r>
        <w:t>of attendances for IV chemotherapy</w:t>
      </w:r>
      <w:r w:rsidRPr="00B12030">
        <w:t xml:space="preserve"> </w:t>
      </w:r>
      <w:r w:rsidRPr="004A6FC8">
        <w:t>by year, for the total population (left) and for Māori (right)</w:t>
      </w:r>
    </w:p>
    <w:p w14:paraId="4FFA6627" w14:textId="615F4F18" w:rsidR="001F6AA3" w:rsidRPr="001F6AA3" w:rsidRDefault="005D746B" w:rsidP="001F6AA3">
      <w:r>
        <w:rPr>
          <w:noProof/>
        </w:rPr>
        <w:drawing>
          <wp:inline distT="0" distB="0" distL="0" distR="0" wp14:anchorId="044CABB6" wp14:editId="48B285B3">
            <wp:extent cx="3053080" cy="2647950"/>
            <wp:effectExtent l="0" t="0" r="13970" b="0"/>
            <wp:docPr id="49" name="Chart 49">
              <a:extLst xmlns:a="http://schemas.openxmlformats.org/drawingml/2006/main">
                <a:ext uri="{FF2B5EF4-FFF2-40B4-BE49-F238E27FC236}">
                  <a16:creationId xmlns:a16="http://schemas.microsoft.com/office/drawing/2014/main" id="{C3D684F7-0857-434E-8767-397B3BDE9A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A62F80" w:rsidRPr="00A62F80">
        <w:rPr>
          <w:noProof/>
        </w:rPr>
        <w:t xml:space="preserve"> </w:t>
      </w:r>
      <w:r w:rsidR="00A62F80">
        <w:rPr>
          <w:noProof/>
        </w:rPr>
        <w:drawing>
          <wp:inline distT="0" distB="0" distL="0" distR="0" wp14:anchorId="2F97C0F0" wp14:editId="03BFF70D">
            <wp:extent cx="3020695" cy="2647950"/>
            <wp:effectExtent l="0" t="0" r="8255" b="0"/>
            <wp:docPr id="50" name="Chart 50">
              <a:extLst xmlns:a="http://schemas.openxmlformats.org/drawingml/2006/main">
                <a:ext uri="{FF2B5EF4-FFF2-40B4-BE49-F238E27FC236}">
                  <a16:creationId xmlns:a16="http://schemas.microsoft.com/office/drawing/2014/main" id="{F50CAB51-A969-40F7-9C7F-8691DC16C1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42DB9A3" w14:textId="5E720A72" w:rsidR="00CD578E" w:rsidRDefault="00CD578E" w:rsidP="00CD578E">
      <w:pPr>
        <w:pStyle w:val="Heading2"/>
      </w:pPr>
      <w:r>
        <w:t>Key points</w:t>
      </w:r>
    </w:p>
    <w:p w14:paraId="07129953" w14:textId="79764116" w:rsidR="00CE1A01" w:rsidRDefault="00CE1A01" w:rsidP="00FF6DC0">
      <w:pPr>
        <w:pStyle w:val="ListParagraph"/>
        <w:numPr>
          <w:ilvl w:val="0"/>
          <w:numId w:val="30"/>
        </w:numPr>
      </w:pPr>
      <w:r>
        <w:t xml:space="preserve">Overall attendance for </w:t>
      </w:r>
      <w:r w:rsidR="00424D61">
        <w:t xml:space="preserve">medical oncology </w:t>
      </w:r>
      <w:r>
        <w:t>FSA</w:t>
      </w:r>
      <w:r w:rsidR="00A36912">
        <w:t>s</w:t>
      </w:r>
      <w:r>
        <w:t xml:space="preserve"> remained stable during lockdown, despite a decrease in new diagnoses. This </w:t>
      </w:r>
      <w:r w:rsidR="00424D61">
        <w:t>may</w:t>
      </w:r>
      <w:r>
        <w:t xml:space="preserve"> reflect</w:t>
      </w:r>
      <w:r w:rsidR="00424D61">
        <w:t xml:space="preserve"> </w:t>
      </w:r>
      <w:r>
        <w:t xml:space="preserve">the </w:t>
      </w:r>
      <w:r w:rsidR="00424D61">
        <w:t>fact that a large proportion of first line cancer treatment is surgical, and so the decrease in FSAs for medical oncology may occur in the weeks</w:t>
      </w:r>
      <w:r w:rsidR="00A36912">
        <w:t>/months</w:t>
      </w:r>
      <w:r w:rsidR="00424D61">
        <w:t xml:space="preserve"> to come.</w:t>
      </w:r>
    </w:p>
    <w:p w14:paraId="61E97B9C" w14:textId="2E59567B" w:rsidR="00424D61" w:rsidRDefault="00424D61" w:rsidP="00FF6DC0">
      <w:pPr>
        <w:pStyle w:val="ListParagraph"/>
        <w:numPr>
          <w:ilvl w:val="0"/>
          <w:numId w:val="30"/>
        </w:numPr>
      </w:pPr>
      <w:r>
        <w:t xml:space="preserve">There was a decrease in FSAs for Māori </w:t>
      </w:r>
      <w:r w:rsidR="00487615">
        <w:t>during the lockdown</w:t>
      </w:r>
      <w:r>
        <w:t xml:space="preserve">. </w:t>
      </w:r>
      <w:r w:rsidR="0074319D">
        <w:t xml:space="preserve">This is different from the pattern seen for FSAs for </w:t>
      </w:r>
      <w:r w:rsidR="00A36912">
        <w:t>radiation</w:t>
      </w:r>
      <w:r w:rsidR="0074319D">
        <w:t xml:space="preserve"> oncology and haematology (see </w:t>
      </w:r>
      <w:r w:rsidR="00F94352">
        <w:fldChar w:fldCharType="begin"/>
      </w:r>
      <w:r w:rsidR="00F94352">
        <w:instrText xml:space="preserve"> REF _Ref41428997 \h </w:instrText>
      </w:r>
      <w:r w:rsidR="00F94352">
        <w:fldChar w:fldCharType="separate"/>
      </w:r>
      <w:r w:rsidR="00CC108E">
        <w:t xml:space="preserve">Table </w:t>
      </w:r>
      <w:r w:rsidR="00CC108E">
        <w:rPr>
          <w:noProof/>
        </w:rPr>
        <w:t>12</w:t>
      </w:r>
      <w:r w:rsidR="00F94352">
        <w:fldChar w:fldCharType="end"/>
      </w:r>
      <w:r w:rsidR="00F94352">
        <w:t xml:space="preserve"> and </w:t>
      </w:r>
      <w:r w:rsidR="00F94352">
        <w:fldChar w:fldCharType="begin"/>
      </w:r>
      <w:r w:rsidR="00F94352">
        <w:instrText xml:space="preserve"> REF _Ref41430285 \h </w:instrText>
      </w:r>
      <w:r w:rsidR="00F94352">
        <w:fldChar w:fldCharType="separate"/>
      </w:r>
      <w:r w:rsidR="00CC108E">
        <w:t xml:space="preserve">Table </w:t>
      </w:r>
      <w:r w:rsidR="00CC108E">
        <w:rPr>
          <w:noProof/>
        </w:rPr>
        <w:t>14</w:t>
      </w:r>
      <w:r w:rsidR="00F94352">
        <w:fldChar w:fldCharType="end"/>
      </w:r>
      <w:r w:rsidR="00A36912">
        <w:t>)</w:t>
      </w:r>
      <w:r w:rsidR="00B76364">
        <w:t>.</w:t>
      </w:r>
      <w:r w:rsidR="0074319D">
        <w:t xml:space="preserve"> </w:t>
      </w:r>
      <w:r w:rsidR="00A36912">
        <w:t xml:space="preserve">This may reflect differences in other parts of the </w:t>
      </w:r>
      <w:r w:rsidR="00F94352">
        <w:t xml:space="preserve">cancer </w:t>
      </w:r>
      <w:r w:rsidR="00A36912">
        <w:t>pathway</w:t>
      </w:r>
      <w:r w:rsidR="00B76364">
        <w:t xml:space="preserve"> </w:t>
      </w:r>
      <w:r w:rsidR="00A36912">
        <w:t>not measured in this report (</w:t>
      </w:r>
      <w:r w:rsidR="009D0E39">
        <w:t>e.g.</w:t>
      </w:r>
      <w:r w:rsidR="00A36912">
        <w:t xml:space="preserve"> radiology)</w:t>
      </w:r>
      <w:r w:rsidR="003B6471">
        <w:t xml:space="preserve">, or access to technology for virtual appointments. </w:t>
      </w:r>
      <w:r w:rsidR="00A36912">
        <w:t xml:space="preserve">There was an increase in FSAs for Māori in March, so </w:t>
      </w:r>
      <w:r w:rsidR="00F94352">
        <w:t xml:space="preserve">it is also </w:t>
      </w:r>
      <w:r w:rsidR="00A36912">
        <w:t>possible that the fluctuation is</w:t>
      </w:r>
      <w:r w:rsidR="003B6471">
        <w:t xml:space="preserve"> related to the relatively small numbers. This will be </w:t>
      </w:r>
      <w:r w:rsidR="00F94352">
        <w:t>investigated</w:t>
      </w:r>
      <w:r w:rsidR="003B6471">
        <w:t xml:space="preserve"> further and continue to </w:t>
      </w:r>
      <w:r w:rsidR="00F94352">
        <w:t xml:space="preserve">be </w:t>
      </w:r>
      <w:r w:rsidR="003B6471">
        <w:t xml:space="preserve">monitored. </w:t>
      </w:r>
      <w:r w:rsidR="00A36912">
        <w:t xml:space="preserve"> </w:t>
      </w:r>
    </w:p>
    <w:p w14:paraId="3F79A1C0" w14:textId="3BD846C3" w:rsidR="00FF6DC0" w:rsidRDefault="00F7692E" w:rsidP="00FF6DC0">
      <w:pPr>
        <w:pStyle w:val="ListParagraph"/>
        <w:numPr>
          <w:ilvl w:val="0"/>
          <w:numId w:val="30"/>
        </w:numPr>
      </w:pPr>
      <w:r>
        <w:t xml:space="preserve">Attendances for intra-venous chemotherapy remained </w:t>
      </w:r>
      <w:r w:rsidR="00FF6DC0">
        <w:t xml:space="preserve">largely </w:t>
      </w:r>
      <w:r>
        <w:t>stable over the lock down period</w:t>
      </w:r>
      <w:r w:rsidR="00FF6DC0">
        <w:t xml:space="preserve">. There was a 3% decrease in attendances in April 2020 compared to April 2019. This likely reflects the </w:t>
      </w:r>
      <w:r w:rsidR="00A36912">
        <w:lastRenderedPageBreak/>
        <w:t xml:space="preserve">implementation of </w:t>
      </w:r>
      <w:r w:rsidR="00FF6DC0">
        <w:t xml:space="preserve">nationally agreed upon </w:t>
      </w:r>
      <w:r w:rsidR="003861BB">
        <w:t>guidance</w:t>
      </w:r>
      <w:r w:rsidR="00FF6DC0">
        <w:t>, which aimed to preserve day unit capacity and minimise spread of COVID-19. This included consideration of switching from IV therapy to oral therapy when there is a broadly comparable health gain and selection of comparable therapies that require</w:t>
      </w:r>
      <w:r w:rsidR="00A26AAA">
        <w:t xml:space="preserve"> </w:t>
      </w:r>
      <w:r w:rsidR="00FF6DC0">
        <w:t>less frequent attendances to hospital.</w:t>
      </w:r>
      <w:r w:rsidR="003B6471">
        <w:t xml:space="preserve"> This included changes to special authority requirements to reduce pressure on the health system (e.g. change from 3 weekly to 6 weekly pembrolizumab). </w:t>
      </w:r>
      <w:r w:rsidR="00FF6DC0">
        <w:t xml:space="preserve"> </w:t>
      </w:r>
    </w:p>
    <w:p w14:paraId="5807B30B" w14:textId="6F8B79E6" w:rsidR="00F7692E" w:rsidRPr="00F7692E" w:rsidRDefault="00F7692E" w:rsidP="00313334">
      <w:pPr>
        <w:pStyle w:val="ListParagraph"/>
        <w:numPr>
          <w:ilvl w:val="0"/>
          <w:numId w:val="30"/>
        </w:numPr>
      </w:pPr>
      <w:r>
        <w:t xml:space="preserve">There </w:t>
      </w:r>
      <w:r w:rsidR="00313334">
        <w:t xml:space="preserve">had </w:t>
      </w:r>
      <w:r>
        <w:t>been a 14% increase in IV chemotherapy for Māori</w:t>
      </w:r>
      <w:r w:rsidR="00313334">
        <w:t xml:space="preserve"> in the first four months of 2020 compared to 2019</w:t>
      </w:r>
      <w:r>
        <w:t>.</w:t>
      </w:r>
    </w:p>
    <w:p w14:paraId="79378963" w14:textId="77777777" w:rsidR="002A3BC8" w:rsidRDefault="002A3BC8" w:rsidP="002A3BC8">
      <w:pPr>
        <w:pStyle w:val="Heading1"/>
      </w:pPr>
      <w:bookmarkStart w:id="46" w:name="_Toc41410750"/>
      <w:bookmarkStart w:id="47" w:name="_Toc41474447"/>
      <w:r>
        <w:t>Radiation oncology</w:t>
      </w:r>
      <w:bookmarkEnd w:id="46"/>
      <w:bookmarkEnd w:id="47"/>
    </w:p>
    <w:p w14:paraId="629E9FBC" w14:textId="7DE937F0" w:rsidR="007828C3" w:rsidRDefault="007828C3" w:rsidP="007828C3">
      <w:pPr>
        <w:pStyle w:val="Heading2"/>
      </w:pPr>
      <w:r>
        <w:t>Notes on data</w:t>
      </w:r>
    </w:p>
    <w:p w14:paraId="60BFEFE0" w14:textId="3BB8675B" w:rsidR="00A62F80" w:rsidRDefault="00A62F80" w:rsidP="00A62F80">
      <w:pPr>
        <w:pStyle w:val="ListParagraph"/>
        <w:numPr>
          <w:ilvl w:val="0"/>
          <w:numId w:val="32"/>
        </w:numPr>
      </w:pPr>
      <w:r w:rsidRPr="00A62F80">
        <w:t>Extracted from</w:t>
      </w:r>
      <w:r>
        <w:t xml:space="preserve"> </w:t>
      </w:r>
      <w:r w:rsidRPr="00A62F80">
        <w:t>National Non-admitted patient collection</w:t>
      </w:r>
      <w:r w:rsidR="003B6471">
        <w:t xml:space="preserve"> on 21 May 2020</w:t>
      </w:r>
      <w:r w:rsidR="00313334">
        <w:t>.</w:t>
      </w:r>
    </w:p>
    <w:p w14:paraId="7E350CA2" w14:textId="6117EB89" w:rsidR="000E4F91" w:rsidRDefault="000E4F91" w:rsidP="000E4F91">
      <w:pPr>
        <w:pStyle w:val="ListParagraph"/>
        <w:numPr>
          <w:ilvl w:val="0"/>
          <w:numId w:val="32"/>
        </w:numPr>
      </w:pPr>
      <w:r>
        <w:t xml:space="preserve">First specialist </w:t>
      </w:r>
      <w:r w:rsidR="006D4241">
        <w:t xml:space="preserve">assessment </w:t>
      </w:r>
      <w:r>
        <w:t xml:space="preserve">(FSA) reflects counts of first attendance </w:t>
      </w:r>
      <w:r w:rsidRPr="000E4F91">
        <w:t xml:space="preserve">for </w:t>
      </w:r>
      <w:r>
        <w:t xml:space="preserve">radiation oncology </w:t>
      </w:r>
      <w:r w:rsidRPr="000E4F91">
        <w:t>specialist assessment</w:t>
      </w:r>
      <w:r>
        <w:t>.</w:t>
      </w:r>
    </w:p>
    <w:p w14:paraId="5D8203B2" w14:textId="4D4554EB" w:rsidR="00313334" w:rsidRPr="00A62F80" w:rsidRDefault="000E4F91" w:rsidP="00A62F80">
      <w:pPr>
        <w:pStyle w:val="ListParagraph"/>
        <w:numPr>
          <w:ilvl w:val="0"/>
          <w:numId w:val="32"/>
        </w:numPr>
      </w:pPr>
      <w:r>
        <w:t xml:space="preserve">Megavoltage attendance reflects </w:t>
      </w:r>
      <w:r w:rsidR="00313334" w:rsidRPr="00A62F80">
        <w:t>appointments for planning</w:t>
      </w:r>
      <w:r w:rsidR="00313334">
        <w:t>/</w:t>
      </w:r>
      <w:r w:rsidR="00313334" w:rsidRPr="00A62F80">
        <w:t xml:space="preserve">simulation and </w:t>
      </w:r>
      <w:r w:rsidR="00313334">
        <w:t xml:space="preserve">for </w:t>
      </w:r>
      <w:r w:rsidR="00313334" w:rsidRPr="00A62F80">
        <w:t xml:space="preserve">treatment with radiation </w:t>
      </w:r>
      <w:r w:rsidR="00313334">
        <w:t xml:space="preserve">therapy </w:t>
      </w:r>
      <w:r w:rsidR="00313334" w:rsidRPr="00A62F80">
        <w:t xml:space="preserve">on a </w:t>
      </w:r>
      <w:r w:rsidR="00313334">
        <w:t>l</w:t>
      </w:r>
      <w:r w:rsidR="00313334" w:rsidRPr="00A62F80">
        <w:t>inear accelerato</w:t>
      </w:r>
      <w:r w:rsidR="00313334">
        <w:t>r.</w:t>
      </w:r>
    </w:p>
    <w:p w14:paraId="7713F5C2" w14:textId="139FF4EB" w:rsidR="00A62F80" w:rsidRPr="00A62F80" w:rsidRDefault="00313334" w:rsidP="00A62F80">
      <w:pPr>
        <w:pStyle w:val="ListParagraph"/>
        <w:numPr>
          <w:ilvl w:val="0"/>
          <w:numId w:val="32"/>
        </w:numPr>
      </w:pPr>
      <w:r>
        <w:t xml:space="preserve">Technical information: </w:t>
      </w:r>
      <w:r w:rsidR="0055119B">
        <w:t>radiation oncology FSA</w:t>
      </w:r>
      <w:r w:rsidR="000E4F91" w:rsidRPr="000E4F91">
        <w:t xml:space="preserve"> (PUC M50022)</w:t>
      </w:r>
      <w:r w:rsidR="000E4F91">
        <w:t xml:space="preserve">, </w:t>
      </w:r>
      <w:r w:rsidR="00A62F80">
        <w:t>m</w:t>
      </w:r>
      <w:r w:rsidR="00A62F80" w:rsidRPr="00A62F80">
        <w:t>eg</w:t>
      </w:r>
      <w:r w:rsidR="00652E60">
        <w:t>a</w:t>
      </w:r>
      <w:r w:rsidR="00A62F80" w:rsidRPr="00A62F80">
        <w:t xml:space="preserve">voltage attendances (Purchase Unit Code M50025) </w:t>
      </w:r>
    </w:p>
    <w:p w14:paraId="7A62EA67" w14:textId="1910D940" w:rsidR="007828C3" w:rsidRDefault="007828C3" w:rsidP="007828C3">
      <w:pPr>
        <w:pStyle w:val="Heading2"/>
      </w:pPr>
      <w:r>
        <w:t>Results</w:t>
      </w:r>
    </w:p>
    <w:p w14:paraId="366B1C34" w14:textId="2258DD85" w:rsidR="000E4F91" w:rsidRPr="000E4F91" w:rsidRDefault="00D70CF8" w:rsidP="000E4F91">
      <w:r>
        <w:t xml:space="preserve">There was minimal change in radiation oncology FSAs in April 2020 compared to April 2019 </w:t>
      </w:r>
      <w:r w:rsidR="003B6471">
        <w:t>(</w:t>
      </w:r>
      <w:r w:rsidR="003B6471">
        <w:fldChar w:fldCharType="begin"/>
      </w:r>
      <w:r w:rsidR="003B6471">
        <w:instrText xml:space="preserve"> REF _Ref41428997 \h </w:instrText>
      </w:r>
      <w:r w:rsidR="003B6471">
        <w:fldChar w:fldCharType="separate"/>
      </w:r>
      <w:r w:rsidR="00CC108E">
        <w:t xml:space="preserve">Table </w:t>
      </w:r>
      <w:r w:rsidR="00CC108E">
        <w:rPr>
          <w:noProof/>
        </w:rPr>
        <w:t>12</w:t>
      </w:r>
      <w:r w:rsidR="003B6471">
        <w:fldChar w:fldCharType="end"/>
      </w:r>
      <w:r w:rsidR="003B6471">
        <w:t xml:space="preserve">).  There has been a </w:t>
      </w:r>
      <w:r>
        <w:t>consistent</w:t>
      </w:r>
      <w:r w:rsidR="003B6471">
        <w:t xml:space="preserve"> number of radiation oncology FSAs over the year for both Māori and </w:t>
      </w:r>
      <w:r>
        <w:t>for the total</w:t>
      </w:r>
      <w:r w:rsidR="003B6471">
        <w:t xml:space="preserve"> </w:t>
      </w:r>
      <w:r>
        <w:t>population</w:t>
      </w:r>
      <w:r w:rsidR="003B6471">
        <w:t xml:space="preserve"> (</w:t>
      </w:r>
      <w:r w:rsidR="003B6471">
        <w:fldChar w:fldCharType="begin"/>
      </w:r>
      <w:r w:rsidR="003B6471">
        <w:instrText xml:space="preserve"> REF _Ref41429250 \h </w:instrText>
      </w:r>
      <w:r w:rsidR="003B6471">
        <w:fldChar w:fldCharType="separate"/>
      </w:r>
      <w:r w:rsidR="00CC108E">
        <w:t xml:space="preserve">Figure </w:t>
      </w:r>
      <w:r w:rsidR="00CC108E">
        <w:rPr>
          <w:noProof/>
        </w:rPr>
        <w:t>24</w:t>
      </w:r>
      <w:r w:rsidR="003B6471">
        <w:fldChar w:fldCharType="end"/>
      </w:r>
      <w:r w:rsidR="00652E60">
        <w:rPr>
          <w:rStyle w:val="CommentReference"/>
        </w:rPr>
        <w:t xml:space="preserve"> </w:t>
      </w:r>
      <w:r w:rsidR="00652E60">
        <w:rPr>
          <w:rStyle w:val="CommentReference"/>
        </w:rPr>
        <w:fldChar w:fldCharType="begin"/>
      </w:r>
      <w:r w:rsidR="00652E60">
        <w:rPr>
          <w:rStyle w:val="CommentReference"/>
        </w:rPr>
        <w:instrText xml:space="preserve"> REF _Ref41429250 \h </w:instrText>
      </w:r>
      <w:r w:rsidR="00652E60">
        <w:rPr>
          <w:rStyle w:val="CommentReference"/>
        </w:rPr>
      </w:r>
      <w:r w:rsidR="00652E60">
        <w:rPr>
          <w:rStyle w:val="CommentReference"/>
        </w:rPr>
        <w:fldChar w:fldCharType="separate"/>
      </w:r>
      <w:r w:rsidR="00CC108E">
        <w:t xml:space="preserve">Figure </w:t>
      </w:r>
      <w:r w:rsidR="00CC108E">
        <w:rPr>
          <w:noProof/>
        </w:rPr>
        <w:t>24</w:t>
      </w:r>
      <w:r w:rsidR="00652E60">
        <w:rPr>
          <w:rStyle w:val="CommentReference"/>
        </w:rPr>
        <w:fldChar w:fldCharType="end"/>
      </w:r>
      <w:r w:rsidR="003B6471">
        <w:t xml:space="preserve">).  </w:t>
      </w:r>
    </w:p>
    <w:p w14:paraId="62B884AF" w14:textId="3A855D12" w:rsidR="003B6471" w:rsidRDefault="003B6471" w:rsidP="003B6471">
      <w:pPr>
        <w:pStyle w:val="Caption"/>
        <w:keepNext/>
      </w:pPr>
      <w:bookmarkStart w:id="48" w:name="_Ref41428997"/>
      <w:r>
        <w:t xml:space="preserve">Table </w:t>
      </w:r>
      <w:fldSimple w:instr=" SEQ Table \* ARABIC ">
        <w:r w:rsidR="00CC108E">
          <w:rPr>
            <w:noProof/>
          </w:rPr>
          <w:t>12</w:t>
        </w:r>
      </w:fldSimple>
      <w:bookmarkEnd w:id="48"/>
      <w:r>
        <w:t xml:space="preserve">: </w:t>
      </w:r>
      <w:r w:rsidRPr="006E0D22">
        <w:t xml:space="preserve">Percentage change in radiation oncology </w:t>
      </w:r>
      <w:r>
        <w:t>first specialist assessments</w:t>
      </w:r>
      <w:r w:rsidRPr="006E0D22">
        <w:t xml:space="preserve"> in 2020 compared to 2019 by month, and cumulative year to date</w:t>
      </w:r>
    </w:p>
    <w:tbl>
      <w:tblPr>
        <w:tblW w:w="8295" w:type="dxa"/>
        <w:jc w:val="center"/>
        <w:tblLook w:val="04A0" w:firstRow="1" w:lastRow="0" w:firstColumn="1" w:lastColumn="0" w:noHBand="0" w:noVBand="1"/>
      </w:tblPr>
      <w:tblGrid>
        <w:gridCol w:w="2391"/>
        <w:gridCol w:w="1120"/>
        <w:gridCol w:w="1125"/>
        <w:gridCol w:w="1125"/>
        <w:gridCol w:w="1184"/>
        <w:gridCol w:w="1350"/>
      </w:tblGrid>
      <w:tr w:rsidR="000E4F91" w:rsidRPr="007828C3" w14:paraId="237DAEE5" w14:textId="77777777" w:rsidTr="003B6471">
        <w:trPr>
          <w:trHeight w:val="260"/>
          <w:jc w:val="center"/>
        </w:trPr>
        <w:tc>
          <w:tcPr>
            <w:tcW w:w="2391" w:type="dxa"/>
            <w:tcBorders>
              <w:bottom w:val="single" w:sz="4" w:space="0" w:color="auto"/>
              <w:right w:val="single" w:sz="4" w:space="0" w:color="auto"/>
            </w:tcBorders>
            <w:shd w:val="clear" w:color="auto" w:fill="auto"/>
            <w:noWrap/>
            <w:vAlign w:val="bottom"/>
            <w:hideMark/>
          </w:tcPr>
          <w:p w14:paraId="3A030F42" w14:textId="77777777" w:rsidR="000E4F91" w:rsidRPr="007828C3" w:rsidRDefault="000E4F91" w:rsidP="000E4F91">
            <w:pPr>
              <w:spacing w:after="0" w:line="240" w:lineRule="auto"/>
              <w:rPr>
                <w:rFonts w:ascii="Times New Roman" w:eastAsia="Times New Roman" w:hAnsi="Times New Roman" w:cs="Times New Roman"/>
                <w:sz w:val="24"/>
                <w:szCs w:val="24"/>
                <w:lang w:eastAsia="en-NZ"/>
              </w:rPr>
            </w:pPr>
          </w:p>
        </w:tc>
        <w:tc>
          <w:tcPr>
            <w:tcW w:w="1120" w:type="dxa"/>
            <w:tcBorders>
              <w:left w:val="single" w:sz="4" w:space="0" w:color="auto"/>
              <w:bottom w:val="single" w:sz="4" w:space="0" w:color="auto"/>
            </w:tcBorders>
            <w:shd w:val="clear" w:color="auto" w:fill="auto"/>
            <w:noWrap/>
            <w:vAlign w:val="bottom"/>
            <w:hideMark/>
          </w:tcPr>
          <w:p w14:paraId="226D1D56" w14:textId="77777777" w:rsidR="000E4F91" w:rsidRPr="007828C3" w:rsidRDefault="000E4F91" w:rsidP="000E4F91">
            <w:pPr>
              <w:spacing w:after="0" w:line="240" w:lineRule="auto"/>
              <w:jc w:val="center"/>
              <w:rPr>
                <w:rFonts w:ascii="Calibri" w:eastAsia="Times New Roman" w:hAnsi="Calibri" w:cs="Times New Roman"/>
                <w:color w:val="000000"/>
                <w:lang w:eastAsia="en-NZ"/>
              </w:rPr>
            </w:pPr>
            <w:r w:rsidRPr="007828C3">
              <w:rPr>
                <w:rFonts w:ascii="Calibri" w:eastAsia="Times New Roman" w:hAnsi="Calibri" w:cs="Times New Roman"/>
                <w:color w:val="000000"/>
                <w:lang w:eastAsia="en-NZ"/>
              </w:rPr>
              <w:t>Jan</w:t>
            </w:r>
          </w:p>
        </w:tc>
        <w:tc>
          <w:tcPr>
            <w:tcW w:w="1125" w:type="dxa"/>
            <w:tcBorders>
              <w:bottom w:val="single" w:sz="4" w:space="0" w:color="auto"/>
            </w:tcBorders>
            <w:shd w:val="clear" w:color="auto" w:fill="auto"/>
            <w:noWrap/>
            <w:vAlign w:val="bottom"/>
            <w:hideMark/>
          </w:tcPr>
          <w:p w14:paraId="4F0B3539" w14:textId="77777777" w:rsidR="000E4F91" w:rsidRPr="007828C3" w:rsidRDefault="000E4F91" w:rsidP="000E4F91">
            <w:pPr>
              <w:spacing w:after="0" w:line="240" w:lineRule="auto"/>
              <w:jc w:val="center"/>
              <w:rPr>
                <w:rFonts w:ascii="Calibri" w:eastAsia="Times New Roman" w:hAnsi="Calibri" w:cs="Times New Roman"/>
                <w:color w:val="000000"/>
                <w:lang w:eastAsia="en-NZ"/>
              </w:rPr>
            </w:pPr>
            <w:r w:rsidRPr="007828C3">
              <w:rPr>
                <w:rFonts w:ascii="Calibri" w:eastAsia="Times New Roman" w:hAnsi="Calibri" w:cs="Times New Roman"/>
                <w:color w:val="000000"/>
                <w:lang w:eastAsia="en-NZ"/>
              </w:rPr>
              <w:t>Feb</w:t>
            </w:r>
          </w:p>
        </w:tc>
        <w:tc>
          <w:tcPr>
            <w:tcW w:w="1125" w:type="dxa"/>
            <w:tcBorders>
              <w:bottom w:val="single" w:sz="4" w:space="0" w:color="auto"/>
            </w:tcBorders>
            <w:shd w:val="clear" w:color="auto" w:fill="auto"/>
            <w:noWrap/>
            <w:vAlign w:val="bottom"/>
            <w:hideMark/>
          </w:tcPr>
          <w:p w14:paraId="7C05A265" w14:textId="77777777" w:rsidR="000E4F91" w:rsidRPr="007828C3" w:rsidRDefault="000E4F91" w:rsidP="000E4F91">
            <w:pPr>
              <w:spacing w:after="0" w:line="240" w:lineRule="auto"/>
              <w:jc w:val="center"/>
              <w:rPr>
                <w:rFonts w:ascii="Calibri" w:eastAsia="Times New Roman" w:hAnsi="Calibri" w:cs="Times New Roman"/>
                <w:color w:val="000000"/>
                <w:lang w:eastAsia="en-NZ"/>
              </w:rPr>
            </w:pPr>
            <w:r w:rsidRPr="007828C3">
              <w:rPr>
                <w:rFonts w:ascii="Calibri" w:eastAsia="Times New Roman" w:hAnsi="Calibri" w:cs="Times New Roman"/>
                <w:color w:val="000000"/>
                <w:lang w:eastAsia="en-NZ"/>
              </w:rPr>
              <w:t>March</w:t>
            </w:r>
          </w:p>
        </w:tc>
        <w:tc>
          <w:tcPr>
            <w:tcW w:w="1184" w:type="dxa"/>
            <w:tcBorders>
              <w:bottom w:val="single" w:sz="4" w:space="0" w:color="auto"/>
              <w:right w:val="single" w:sz="12" w:space="0" w:color="auto"/>
            </w:tcBorders>
            <w:shd w:val="clear" w:color="auto" w:fill="auto"/>
            <w:noWrap/>
            <w:vAlign w:val="bottom"/>
            <w:hideMark/>
          </w:tcPr>
          <w:p w14:paraId="7F3402F6" w14:textId="77777777" w:rsidR="000E4F91" w:rsidRPr="007828C3" w:rsidRDefault="000E4F91" w:rsidP="000E4F91">
            <w:pPr>
              <w:spacing w:after="0" w:line="240" w:lineRule="auto"/>
              <w:jc w:val="center"/>
              <w:rPr>
                <w:rFonts w:ascii="Calibri" w:eastAsia="Times New Roman" w:hAnsi="Calibri" w:cs="Times New Roman"/>
                <w:color w:val="000000"/>
                <w:lang w:eastAsia="en-NZ"/>
              </w:rPr>
            </w:pPr>
            <w:r w:rsidRPr="007828C3">
              <w:rPr>
                <w:rFonts w:ascii="Calibri" w:eastAsia="Times New Roman" w:hAnsi="Calibri" w:cs="Times New Roman"/>
                <w:color w:val="000000"/>
                <w:lang w:eastAsia="en-NZ"/>
              </w:rPr>
              <w:t>April</w:t>
            </w:r>
          </w:p>
        </w:tc>
        <w:tc>
          <w:tcPr>
            <w:tcW w:w="1350" w:type="dxa"/>
            <w:tcBorders>
              <w:left w:val="single" w:sz="12" w:space="0" w:color="auto"/>
              <w:bottom w:val="single" w:sz="4" w:space="0" w:color="auto"/>
            </w:tcBorders>
            <w:shd w:val="clear" w:color="auto" w:fill="auto"/>
            <w:noWrap/>
            <w:vAlign w:val="bottom"/>
            <w:hideMark/>
          </w:tcPr>
          <w:p w14:paraId="09628464" w14:textId="77777777" w:rsidR="000E4F91" w:rsidRPr="007828C3" w:rsidRDefault="000E4F91" w:rsidP="000E4F91">
            <w:pPr>
              <w:spacing w:after="0" w:line="240" w:lineRule="auto"/>
              <w:jc w:val="center"/>
              <w:rPr>
                <w:rFonts w:ascii="Calibri" w:eastAsia="Times New Roman" w:hAnsi="Calibri" w:cs="Times New Roman"/>
                <w:color w:val="000000"/>
                <w:lang w:eastAsia="en-NZ"/>
              </w:rPr>
            </w:pPr>
            <w:r w:rsidRPr="007828C3">
              <w:rPr>
                <w:rFonts w:ascii="Calibri" w:eastAsia="Times New Roman" w:hAnsi="Calibri" w:cs="Times New Roman"/>
                <w:color w:val="000000"/>
                <w:lang w:eastAsia="en-NZ"/>
              </w:rPr>
              <w:t>YTD</w:t>
            </w:r>
          </w:p>
        </w:tc>
      </w:tr>
      <w:tr w:rsidR="000E4F91" w:rsidRPr="007828C3" w14:paraId="52DB27FF" w14:textId="77777777" w:rsidTr="003B6471">
        <w:trPr>
          <w:trHeight w:val="260"/>
          <w:jc w:val="center"/>
        </w:trPr>
        <w:tc>
          <w:tcPr>
            <w:tcW w:w="2391" w:type="dxa"/>
            <w:tcBorders>
              <w:top w:val="single" w:sz="4" w:space="0" w:color="auto"/>
              <w:right w:val="single" w:sz="4" w:space="0" w:color="auto"/>
            </w:tcBorders>
            <w:shd w:val="clear" w:color="auto" w:fill="auto"/>
            <w:noWrap/>
            <w:vAlign w:val="bottom"/>
          </w:tcPr>
          <w:p w14:paraId="27AB545F" w14:textId="77777777" w:rsidR="000E4F91" w:rsidRPr="007828C3" w:rsidRDefault="000E4F91" w:rsidP="000E4F91">
            <w:pPr>
              <w:spacing w:after="0" w:line="240" w:lineRule="auto"/>
              <w:jc w:val="right"/>
              <w:rPr>
                <w:rFonts w:ascii="Calibri" w:eastAsia="Times New Roman" w:hAnsi="Calibri" w:cs="Times New Roman"/>
                <w:color w:val="000000"/>
                <w:lang w:eastAsia="en-NZ"/>
              </w:rPr>
            </w:pPr>
            <w:r w:rsidRPr="007828C3">
              <w:rPr>
                <w:rFonts w:ascii="Calibri" w:eastAsia="Times New Roman" w:hAnsi="Calibri" w:cs="Times New Roman"/>
                <w:color w:val="000000"/>
                <w:lang w:eastAsia="en-NZ"/>
              </w:rPr>
              <w:t>Māori</w:t>
            </w:r>
          </w:p>
        </w:tc>
        <w:tc>
          <w:tcPr>
            <w:tcW w:w="1120" w:type="dxa"/>
            <w:tcBorders>
              <w:top w:val="nil"/>
              <w:left w:val="single" w:sz="4" w:space="0" w:color="auto"/>
              <w:bottom w:val="nil"/>
              <w:right w:val="nil"/>
            </w:tcBorders>
            <w:shd w:val="clear" w:color="auto" w:fill="auto"/>
            <w:noWrap/>
            <w:vAlign w:val="bottom"/>
          </w:tcPr>
          <w:p w14:paraId="72D0776E" w14:textId="2210ABDA" w:rsidR="000E4F91" w:rsidRPr="007828C3" w:rsidRDefault="000E4F91" w:rsidP="000E4F91">
            <w:pPr>
              <w:spacing w:after="0" w:line="240" w:lineRule="auto"/>
              <w:jc w:val="center"/>
              <w:rPr>
                <w:rFonts w:ascii="Calibri" w:eastAsia="Times New Roman" w:hAnsi="Calibri" w:cs="Times New Roman"/>
                <w:color w:val="000000"/>
                <w:lang w:eastAsia="en-NZ"/>
              </w:rPr>
            </w:pPr>
            <w:r>
              <w:rPr>
                <w:rFonts w:ascii="Calibri" w:hAnsi="Calibri"/>
                <w:color w:val="000000"/>
              </w:rPr>
              <w:t>3%</w:t>
            </w:r>
          </w:p>
        </w:tc>
        <w:tc>
          <w:tcPr>
            <w:tcW w:w="1125" w:type="dxa"/>
            <w:tcBorders>
              <w:top w:val="nil"/>
              <w:left w:val="nil"/>
              <w:bottom w:val="nil"/>
              <w:right w:val="nil"/>
            </w:tcBorders>
            <w:shd w:val="clear" w:color="auto" w:fill="auto"/>
            <w:noWrap/>
            <w:vAlign w:val="bottom"/>
          </w:tcPr>
          <w:p w14:paraId="4282BCA2" w14:textId="749D8FE0" w:rsidR="000E4F91" w:rsidRPr="007828C3" w:rsidRDefault="000E4F91" w:rsidP="000E4F91">
            <w:pPr>
              <w:spacing w:after="0" w:line="240" w:lineRule="auto"/>
              <w:jc w:val="center"/>
              <w:rPr>
                <w:rFonts w:ascii="Calibri" w:eastAsia="Times New Roman" w:hAnsi="Calibri" w:cs="Times New Roman"/>
                <w:color w:val="000000"/>
                <w:lang w:eastAsia="en-NZ"/>
              </w:rPr>
            </w:pPr>
            <w:r>
              <w:rPr>
                <w:rFonts w:ascii="Calibri" w:hAnsi="Calibri"/>
                <w:color w:val="000000"/>
              </w:rPr>
              <w:t>-7%</w:t>
            </w:r>
          </w:p>
        </w:tc>
        <w:tc>
          <w:tcPr>
            <w:tcW w:w="1125" w:type="dxa"/>
            <w:tcBorders>
              <w:top w:val="nil"/>
              <w:left w:val="nil"/>
              <w:bottom w:val="nil"/>
              <w:right w:val="nil"/>
            </w:tcBorders>
            <w:shd w:val="clear" w:color="auto" w:fill="auto"/>
            <w:noWrap/>
            <w:vAlign w:val="bottom"/>
          </w:tcPr>
          <w:p w14:paraId="2C8B6E7E" w14:textId="5BA581BB" w:rsidR="000E4F91" w:rsidRPr="007828C3" w:rsidRDefault="000E4F91" w:rsidP="000E4F91">
            <w:pPr>
              <w:spacing w:after="0" w:line="240" w:lineRule="auto"/>
              <w:jc w:val="center"/>
              <w:rPr>
                <w:rFonts w:ascii="Calibri" w:eastAsia="Times New Roman" w:hAnsi="Calibri" w:cs="Times New Roman"/>
                <w:color w:val="000000"/>
                <w:lang w:eastAsia="en-NZ"/>
              </w:rPr>
            </w:pPr>
            <w:r>
              <w:rPr>
                <w:rFonts w:ascii="Calibri" w:hAnsi="Calibri"/>
                <w:color w:val="000000"/>
              </w:rPr>
              <w:t>23%</w:t>
            </w:r>
          </w:p>
        </w:tc>
        <w:tc>
          <w:tcPr>
            <w:tcW w:w="1184" w:type="dxa"/>
            <w:tcBorders>
              <w:top w:val="nil"/>
              <w:left w:val="nil"/>
              <w:bottom w:val="nil"/>
              <w:right w:val="nil"/>
            </w:tcBorders>
            <w:shd w:val="clear" w:color="auto" w:fill="auto"/>
            <w:noWrap/>
            <w:vAlign w:val="bottom"/>
          </w:tcPr>
          <w:p w14:paraId="7C1A90DE" w14:textId="776EB86C" w:rsidR="000E4F91" w:rsidRPr="007828C3" w:rsidRDefault="000E4F91" w:rsidP="000E4F91">
            <w:pPr>
              <w:spacing w:after="0" w:line="240" w:lineRule="auto"/>
              <w:jc w:val="center"/>
              <w:rPr>
                <w:rFonts w:ascii="Calibri" w:eastAsia="Times New Roman" w:hAnsi="Calibri" w:cs="Times New Roman"/>
                <w:color w:val="000000"/>
                <w:lang w:eastAsia="en-NZ"/>
              </w:rPr>
            </w:pPr>
            <w:r>
              <w:rPr>
                <w:rFonts w:ascii="Calibri" w:hAnsi="Calibri"/>
                <w:color w:val="000000"/>
              </w:rPr>
              <w:t>8%</w:t>
            </w:r>
          </w:p>
        </w:tc>
        <w:tc>
          <w:tcPr>
            <w:tcW w:w="1350" w:type="dxa"/>
            <w:tcBorders>
              <w:top w:val="single" w:sz="4" w:space="0" w:color="auto"/>
              <w:left w:val="single" w:sz="12" w:space="0" w:color="auto"/>
            </w:tcBorders>
            <w:shd w:val="clear" w:color="auto" w:fill="auto"/>
            <w:noWrap/>
            <w:vAlign w:val="bottom"/>
          </w:tcPr>
          <w:p w14:paraId="22347E39" w14:textId="1DEB86C2" w:rsidR="000E4F91" w:rsidRPr="007828C3" w:rsidRDefault="000E4F91" w:rsidP="000E4F91">
            <w:pPr>
              <w:spacing w:after="0" w:line="240" w:lineRule="auto"/>
              <w:jc w:val="center"/>
              <w:rPr>
                <w:rFonts w:ascii="Calibri" w:eastAsia="Times New Roman" w:hAnsi="Calibri" w:cs="Times New Roman"/>
                <w:color w:val="000000"/>
                <w:lang w:eastAsia="en-NZ"/>
              </w:rPr>
            </w:pPr>
            <w:r>
              <w:rPr>
                <w:rFonts w:ascii="Calibri" w:eastAsia="Times New Roman" w:hAnsi="Calibri" w:cs="Times New Roman"/>
                <w:color w:val="000000"/>
                <w:lang w:eastAsia="en-NZ"/>
              </w:rPr>
              <w:t>6%</w:t>
            </w:r>
          </w:p>
        </w:tc>
      </w:tr>
      <w:tr w:rsidR="000E4F91" w:rsidRPr="007828C3" w14:paraId="01F6E782" w14:textId="77777777" w:rsidTr="003B6471">
        <w:trPr>
          <w:trHeight w:val="260"/>
          <w:jc w:val="center"/>
        </w:trPr>
        <w:tc>
          <w:tcPr>
            <w:tcW w:w="2391" w:type="dxa"/>
            <w:tcBorders>
              <w:bottom w:val="single" w:sz="18" w:space="0" w:color="auto"/>
              <w:right w:val="single" w:sz="4" w:space="0" w:color="auto"/>
            </w:tcBorders>
            <w:shd w:val="clear" w:color="auto" w:fill="auto"/>
            <w:noWrap/>
            <w:vAlign w:val="bottom"/>
            <w:hideMark/>
          </w:tcPr>
          <w:p w14:paraId="3C9A52EE" w14:textId="77777777" w:rsidR="000E4F91" w:rsidRPr="007828C3" w:rsidRDefault="000E4F91" w:rsidP="000E4F91">
            <w:pPr>
              <w:spacing w:after="0" w:line="240" w:lineRule="auto"/>
              <w:jc w:val="right"/>
              <w:rPr>
                <w:rFonts w:ascii="Calibri" w:eastAsia="Times New Roman" w:hAnsi="Calibri" w:cs="Times New Roman"/>
                <w:color w:val="000000"/>
                <w:lang w:eastAsia="en-NZ"/>
              </w:rPr>
            </w:pPr>
            <w:r>
              <w:rPr>
                <w:rFonts w:ascii="Calibri" w:eastAsia="Times New Roman" w:hAnsi="Calibri" w:cs="Times New Roman"/>
                <w:color w:val="000000"/>
                <w:lang w:eastAsia="en-NZ"/>
              </w:rPr>
              <w:t>Non-Māori/Non-Pacific</w:t>
            </w:r>
          </w:p>
        </w:tc>
        <w:tc>
          <w:tcPr>
            <w:tcW w:w="1120" w:type="dxa"/>
            <w:tcBorders>
              <w:top w:val="nil"/>
              <w:left w:val="single" w:sz="4" w:space="0" w:color="auto"/>
              <w:bottom w:val="single" w:sz="18" w:space="0" w:color="auto"/>
              <w:right w:val="nil"/>
            </w:tcBorders>
            <w:shd w:val="clear" w:color="auto" w:fill="auto"/>
            <w:noWrap/>
            <w:vAlign w:val="bottom"/>
          </w:tcPr>
          <w:p w14:paraId="076C4084" w14:textId="7471D9BE" w:rsidR="000E4F91" w:rsidRPr="007828C3" w:rsidRDefault="000E4F91" w:rsidP="000E4F91">
            <w:pPr>
              <w:spacing w:after="0" w:line="240" w:lineRule="auto"/>
              <w:jc w:val="center"/>
              <w:rPr>
                <w:rFonts w:ascii="Calibri" w:eastAsia="Times New Roman" w:hAnsi="Calibri" w:cs="Times New Roman"/>
                <w:color w:val="000000"/>
                <w:lang w:eastAsia="en-NZ"/>
              </w:rPr>
            </w:pPr>
            <w:r>
              <w:rPr>
                <w:rFonts w:ascii="Calibri" w:hAnsi="Calibri"/>
                <w:color w:val="000000"/>
              </w:rPr>
              <w:t>10%</w:t>
            </w:r>
          </w:p>
        </w:tc>
        <w:tc>
          <w:tcPr>
            <w:tcW w:w="1125" w:type="dxa"/>
            <w:tcBorders>
              <w:top w:val="nil"/>
              <w:left w:val="nil"/>
              <w:bottom w:val="single" w:sz="18" w:space="0" w:color="auto"/>
              <w:right w:val="nil"/>
            </w:tcBorders>
            <w:shd w:val="clear" w:color="auto" w:fill="auto"/>
            <w:noWrap/>
            <w:vAlign w:val="bottom"/>
          </w:tcPr>
          <w:p w14:paraId="5EF3C970" w14:textId="4EBB387F" w:rsidR="000E4F91" w:rsidRPr="007828C3" w:rsidRDefault="000E4F91" w:rsidP="000E4F91">
            <w:pPr>
              <w:spacing w:after="0" w:line="240" w:lineRule="auto"/>
              <w:jc w:val="center"/>
              <w:rPr>
                <w:rFonts w:ascii="Calibri" w:eastAsia="Times New Roman" w:hAnsi="Calibri" w:cs="Times New Roman"/>
                <w:color w:val="000000"/>
                <w:lang w:eastAsia="en-NZ"/>
              </w:rPr>
            </w:pPr>
            <w:r>
              <w:rPr>
                <w:rFonts w:ascii="Calibri" w:hAnsi="Calibri"/>
                <w:color w:val="000000"/>
              </w:rPr>
              <w:t>-5%</w:t>
            </w:r>
          </w:p>
        </w:tc>
        <w:tc>
          <w:tcPr>
            <w:tcW w:w="1125" w:type="dxa"/>
            <w:tcBorders>
              <w:top w:val="nil"/>
              <w:left w:val="nil"/>
              <w:bottom w:val="single" w:sz="18" w:space="0" w:color="auto"/>
              <w:right w:val="nil"/>
            </w:tcBorders>
            <w:shd w:val="clear" w:color="auto" w:fill="auto"/>
            <w:noWrap/>
            <w:vAlign w:val="bottom"/>
          </w:tcPr>
          <w:p w14:paraId="4983C473" w14:textId="7F733E51" w:rsidR="000E4F91" w:rsidRPr="007828C3" w:rsidRDefault="000E4F91" w:rsidP="000E4F91">
            <w:pPr>
              <w:spacing w:after="0" w:line="240" w:lineRule="auto"/>
              <w:jc w:val="center"/>
              <w:rPr>
                <w:rFonts w:ascii="Calibri" w:eastAsia="Times New Roman" w:hAnsi="Calibri" w:cs="Times New Roman"/>
                <w:color w:val="000000"/>
                <w:lang w:eastAsia="en-NZ"/>
              </w:rPr>
            </w:pPr>
            <w:r>
              <w:rPr>
                <w:rFonts w:ascii="Calibri" w:hAnsi="Calibri"/>
                <w:color w:val="000000"/>
              </w:rPr>
              <w:t>6%</w:t>
            </w:r>
          </w:p>
        </w:tc>
        <w:tc>
          <w:tcPr>
            <w:tcW w:w="1184" w:type="dxa"/>
            <w:tcBorders>
              <w:top w:val="nil"/>
              <w:left w:val="nil"/>
              <w:bottom w:val="single" w:sz="18" w:space="0" w:color="auto"/>
              <w:right w:val="nil"/>
            </w:tcBorders>
            <w:shd w:val="clear" w:color="auto" w:fill="auto"/>
            <w:noWrap/>
            <w:vAlign w:val="bottom"/>
          </w:tcPr>
          <w:p w14:paraId="5F1445CB" w14:textId="032AB5FF" w:rsidR="000E4F91" w:rsidRPr="007828C3" w:rsidRDefault="000E4F91" w:rsidP="000E4F91">
            <w:pPr>
              <w:spacing w:after="0" w:line="240" w:lineRule="auto"/>
              <w:jc w:val="center"/>
              <w:rPr>
                <w:rFonts w:ascii="Calibri" w:eastAsia="Times New Roman" w:hAnsi="Calibri" w:cs="Times New Roman"/>
                <w:color w:val="000000"/>
                <w:lang w:eastAsia="en-NZ"/>
              </w:rPr>
            </w:pPr>
            <w:r>
              <w:rPr>
                <w:rFonts w:ascii="Calibri" w:hAnsi="Calibri"/>
                <w:color w:val="000000"/>
              </w:rPr>
              <w:t>0%</w:t>
            </w:r>
          </w:p>
        </w:tc>
        <w:tc>
          <w:tcPr>
            <w:tcW w:w="1350" w:type="dxa"/>
            <w:tcBorders>
              <w:left w:val="single" w:sz="12" w:space="0" w:color="auto"/>
              <w:bottom w:val="single" w:sz="18" w:space="0" w:color="auto"/>
            </w:tcBorders>
            <w:shd w:val="clear" w:color="auto" w:fill="auto"/>
            <w:noWrap/>
            <w:vAlign w:val="bottom"/>
          </w:tcPr>
          <w:p w14:paraId="27C66AAB" w14:textId="3C027D5C" w:rsidR="000E4F91" w:rsidRPr="007828C3" w:rsidRDefault="000E4F91" w:rsidP="000E4F91">
            <w:pPr>
              <w:spacing w:after="0" w:line="240" w:lineRule="auto"/>
              <w:jc w:val="center"/>
              <w:rPr>
                <w:rFonts w:ascii="Calibri" w:eastAsia="Times New Roman" w:hAnsi="Calibri" w:cs="Times New Roman"/>
                <w:color w:val="000000"/>
                <w:lang w:eastAsia="en-NZ"/>
              </w:rPr>
            </w:pPr>
            <w:r>
              <w:rPr>
                <w:rFonts w:ascii="Calibri" w:eastAsia="Times New Roman" w:hAnsi="Calibri" w:cs="Times New Roman"/>
                <w:color w:val="000000"/>
                <w:lang w:eastAsia="en-NZ"/>
              </w:rPr>
              <w:t>+1%</w:t>
            </w:r>
          </w:p>
        </w:tc>
      </w:tr>
      <w:tr w:rsidR="000E4F91" w:rsidRPr="007828C3" w14:paraId="09BF783C" w14:textId="77777777" w:rsidTr="003B6471">
        <w:trPr>
          <w:trHeight w:val="260"/>
          <w:jc w:val="center"/>
        </w:trPr>
        <w:tc>
          <w:tcPr>
            <w:tcW w:w="2391" w:type="dxa"/>
            <w:tcBorders>
              <w:top w:val="single" w:sz="18" w:space="0" w:color="auto"/>
              <w:bottom w:val="single" w:sz="4" w:space="0" w:color="auto"/>
              <w:right w:val="single" w:sz="4" w:space="0" w:color="auto"/>
            </w:tcBorders>
            <w:shd w:val="clear" w:color="auto" w:fill="auto"/>
            <w:noWrap/>
            <w:vAlign w:val="bottom"/>
          </w:tcPr>
          <w:p w14:paraId="781C2158" w14:textId="77777777" w:rsidR="000E4F91" w:rsidRPr="007828C3" w:rsidRDefault="000E4F91" w:rsidP="000E4F91">
            <w:pPr>
              <w:spacing w:after="0" w:line="240" w:lineRule="auto"/>
              <w:jc w:val="right"/>
              <w:rPr>
                <w:rFonts w:ascii="Calibri" w:eastAsia="Times New Roman" w:hAnsi="Calibri" w:cs="Times New Roman"/>
                <w:color w:val="000000"/>
                <w:lang w:eastAsia="en-NZ"/>
              </w:rPr>
            </w:pPr>
            <w:r>
              <w:rPr>
                <w:rFonts w:ascii="Calibri" w:eastAsia="Times New Roman" w:hAnsi="Calibri" w:cs="Times New Roman"/>
                <w:color w:val="000000"/>
                <w:lang w:eastAsia="en-NZ"/>
              </w:rPr>
              <w:t>Total</w:t>
            </w:r>
          </w:p>
        </w:tc>
        <w:tc>
          <w:tcPr>
            <w:tcW w:w="1120" w:type="dxa"/>
            <w:tcBorders>
              <w:top w:val="single" w:sz="18" w:space="0" w:color="auto"/>
              <w:left w:val="single" w:sz="4" w:space="0" w:color="auto"/>
              <w:bottom w:val="single" w:sz="4" w:space="0" w:color="auto"/>
              <w:right w:val="nil"/>
            </w:tcBorders>
            <w:shd w:val="clear" w:color="auto" w:fill="auto"/>
            <w:noWrap/>
            <w:vAlign w:val="bottom"/>
          </w:tcPr>
          <w:p w14:paraId="6A3812DF" w14:textId="6F7C7EEB" w:rsidR="000E4F91" w:rsidRPr="007828C3" w:rsidRDefault="000E4F91" w:rsidP="000E4F91">
            <w:pPr>
              <w:spacing w:after="0" w:line="240" w:lineRule="auto"/>
              <w:jc w:val="center"/>
              <w:rPr>
                <w:rFonts w:ascii="Calibri" w:eastAsia="Times New Roman" w:hAnsi="Calibri" w:cs="Times New Roman"/>
                <w:color w:val="000000"/>
                <w:lang w:eastAsia="en-NZ"/>
              </w:rPr>
            </w:pPr>
            <w:r>
              <w:rPr>
                <w:rFonts w:ascii="Calibri" w:hAnsi="Calibri"/>
                <w:color w:val="000000"/>
              </w:rPr>
              <w:t>7%</w:t>
            </w:r>
          </w:p>
        </w:tc>
        <w:tc>
          <w:tcPr>
            <w:tcW w:w="1125" w:type="dxa"/>
            <w:tcBorders>
              <w:top w:val="single" w:sz="18" w:space="0" w:color="auto"/>
              <w:left w:val="nil"/>
              <w:bottom w:val="single" w:sz="4" w:space="0" w:color="auto"/>
              <w:right w:val="nil"/>
            </w:tcBorders>
            <w:shd w:val="clear" w:color="auto" w:fill="auto"/>
            <w:noWrap/>
            <w:vAlign w:val="bottom"/>
          </w:tcPr>
          <w:p w14:paraId="0438E722" w14:textId="161DE7EC" w:rsidR="000E4F91" w:rsidRPr="007828C3" w:rsidRDefault="000E4F91" w:rsidP="000E4F91">
            <w:pPr>
              <w:spacing w:after="0" w:line="240" w:lineRule="auto"/>
              <w:jc w:val="center"/>
              <w:rPr>
                <w:rFonts w:ascii="Calibri" w:eastAsia="Times New Roman" w:hAnsi="Calibri" w:cs="Times New Roman"/>
                <w:color w:val="000000"/>
                <w:lang w:eastAsia="en-NZ"/>
              </w:rPr>
            </w:pPr>
            <w:r>
              <w:rPr>
                <w:rFonts w:ascii="Calibri" w:hAnsi="Calibri"/>
                <w:color w:val="000000"/>
              </w:rPr>
              <w:t>-3%</w:t>
            </w:r>
          </w:p>
        </w:tc>
        <w:tc>
          <w:tcPr>
            <w:tcW w:w="1125" w:type="dxa"/>
            <w:tcBorders>
              <w:top w:val="single" w:sz="18" w:space="0" w:color="auto"/>
              <w:left w:val="nil"/>
              <w:bottom w:val="single" w:sz="4" w:space="0" w:color="auto"/>
              <w:right w:val="nil"/>
            </w:tcBorders>
            <w:shd w:val="clear" w:color="auto" w:fill="auto"/>
            <w:noWrap/>
            <w:vAlign w:val="bottom"/>
          </w:tcPr>
          <w:p w14:paraId="1607A8F8" w14:textId="1457079A" w:rsidR="000E4F91" w:rsidRPr="007828C3" w:rsidRDefault="000E4F91" w:rsidP="000E4F91">
            <w:pPr>
              <w:spacing w:after="0" w:line="240" w:lineRule="auto"/>
              <w:jc w:val="center"/>
              <w:rPr>
                <w:rFonts w:ascii="Calibri" w:eastAsia="Times New Roman" w:hAnsi="Calibri" w:cs="Times New Roman"/>
                <w:color w:val="000000"/>
                <w:lang w:eastAsia="en-NZ"/>
              </w:rPr>
            </w:pPr>
            <w:r>
              <w:rPr>
                <w:rFonts w:ascii="Calibri" w:hAnsi="Calibri"/>
                <w:color w:val="000000"/>
              </w:rPr>
              <w:t>6%</w:t>
            </w:r>
          </w:p>
        </w:tc>
        <w:tc>
          <w:tcPr>
            <w:tcW w:w="1184" w:type="dxa"/>
            <w:tcBorders>
              <w:top w:val="single" w:sz="18" w:space="0" w:color="auto"/>
              <w:left w:val="nil"/>
              <w:bottom w:val="single" w:sz="4" w:space="0" w:color="auto"/>
              <w:right w:val="nil"/>
            </w:tcBorders>
            <w:shd w:val="clear" w:color="auto" w:fill="auto"/>
            <w:noWrap/>
            <w:vAlign w:val="bottom"/>
          </w:tcPr>
          <w:p w14:paraId="3EE9EC9D" w14:textId="69CB61A1" w:rsidR="000E4F91" w:rsidRPr="007828C3" w:rsidRDefault="000E4F91" w:rsidP="000E4F91">
            <w:pPr>
              <w:spacing w:after="0" w:line="240" w:lineRule="auto"/>
              <w:jc w:val="center"/>
              <w:rPr>
                <w:rFonts w:ascii="Calibri" w:eastAsia="Times New Roman" w:hAnsi="Calibri" w:cs="Times New Roman"/>
                <w:color w:val="000000"/>
                <w:lang w:eastAsia="en-NZ"/>
              </w:rPr>
            </w:pPr>
            <w:r>
              <w:rPr>
                <w:rFonts w:ascii="Calibri" w:hAnsi="Calibri"/>
                <w:color w:val="000000"/>
              </w:rPr>
              <w:t>2%</w:t>
            </w:r>
          </w:p>
        </w:tc>
        <w:tc>
          <w:tcPr>
            <w:tcW w:w="1350" w:type="dxa"/>
            <w:tcBorders>
              <w:top w:val="single" w:sz="18" w:space="0" w:color="auto"/>
              <w:left w:val="single" w:sz="12" w:space="0" w:color="auto"/>
              <w:bottom w:val="single" w:sz="4" w:space="0" w:color="auto"/>
            </w:tcBorders>
            <w:shd w:val="clear" w:color="auto" w:fill="auto"/>
            <w:noWrap/>
            <w:vAlign w:val="bottom"/>
          </w:tcPr>
          <w:p w14:paraId="2F27178E" w14:textId="07CF19CC" w:rsidR="000E4F91" w:rsidRPr="007828C3" w:rsidRDefault="000E4F91" w:rsidP="000E4F91">
            <w:pPr>
              <w:keepNext/>
              <w:spacing w:after="0" w:line="240" w:lineRule="auto"/>
              <w:jc w:val="center"/>
              <w:rPr>
                <w:rFonts w:ascii="Calibri" w:eastAsia="Times New Roman" w:hAnsi="Calibri" w:cs="Times New Roman"/>
                <w:color w:val="000000"/>
                <w:lang w:eastAsia="en-NZ"/>
              </w:rPr>
            </w:pPr>
            <w:r>
              <w:rPr>
                <w:rFonts w:ascii="Calibri" w:eastAsia="Times New Roman" w:hAnsi="Calibri" w:cs="Times New Roman"/>
                <w:color w:val="000000"/>
                <w:lang w:eastAsia="en-NZ"/>
              </w:rPr>
              <w:t>2%</w:t>
            </w:r>
          </w:p>
        </w:tc>
      </w:tr>
    </w:tbl>
    <w:p w14:paraId="49F83529" w14:textId="211C3839" w:rsidR="003B6471" w:rsidRDefault="003B6471" w:rsidP="00D70CF8">
      <w:pPr>
        <w:pStyle w:val="Caption"/>
        <w:keepNext/>
        <w:spacing w:before="120"/>
      </w:pPr>
      <w:r>
        <w:lastRenderedPageBreak/>
        <w:t xml:space="preserve">Figure </w:t>
      </w:r>
      <w:fldSimple w:instr=" SEQ Figure \* ARABIC ">
        <w:r w:rsidR="00CC108E">
          <w:rPr>
            <w:noProof/>
          </w:rPr>
          <w:t>23</w:t>
        </w:r>
      </w:fldSimple>
      <w:r>
        <w:t xml:space="preserve">: </w:t>
      </w:r>
      <w:r w:rsidRPr="00862F88">
        <w:t>Number</w:t>
      </w:r>
      <w:r w:rsidR="00900343">
        <w:t xml:space="preserve"> of</w:t>
      </w:r>
      <w:r w:rsidRPr="00862F88">
        <w:t xml:space="preserve"> </w:t>
      </w:r>
      <w:r>
        <w:t xml:space="preserve">radiation oncology first specialist assessments </w:t>
      </w:r>
      <w:r w:rsidRPr="00862F88">
        <w:t>by month and year, total population (left) and for Māori (right)</w:t>
      </w:r>
    </w:p>
    <w:p w14:paraId="6013892F" w14:textId="77777777" w:rsidR="003B6471" w:rsidRDefault="005E1846" w:rsidP="000E4F91">
      <w:r>
        <w:rPr>
          <w:noProof/>
        </w:rPr>
        <w:drawing>
          <wp:inline distT="0" distB="0" distL="0" distR="0" wp14:anchorId="5392E8C2" wp14:editId="08320BE8">
            <wp:extent cx="3124200" cy="2552700"/>
            <wp:effectExtent l="0" t="0" r="0" b="0"/>
            <wp:docPr id="93" name="Chart 93">
              <a:extLst xmlns:a="http://schemas.openxmlformats.org/drawingml/2006/main">
                <a:ext uri="{FF2B5EF4-FFF2-40B4-BE49-F238E27FC236}">
                  <a16:creationId xmlns:a16="http://schemas.microsoft.com/office/drawing/2014/main" id="{37F48FAC-17BB-472D-89FA-3A7EDF1A36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rPr>
        <w:drawing>
          <wp:inline distT="0" distB="0" distL="0" distR="0" wp14:anchorId="5C668B55" wp14:editId="24BB926B">
            <wp:extent cx="3067050" cy="2552700"/>
            <wp:effectExtent l="0" t="0" r="0" b="0"/>
            <wp:docPr id="94" name="Chart 94">
              <a:extLst xmlns:a="http://schemas.openxmlformats.org/drawingml/2006/main">
                <a:ext uri="{FF2B5EF4-FFF2-40B4-BE49-F238E27FC236}">
                  <a16:creationId xmlns:a16="http://schemas.microsoft.com/office/drawing/2014/main" id="{B996B7BA-FBCD-4A61-9A42-FF48BDEA87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882BD78" w14:textId="017CF20D" w:rsidR="003B6471" w:rsidRDefault="003B6471" w:rsidP="003B6471">
      <w:pPr>
        <w:pStyle w:val="Caption"/>
        <w:keepNext/>
      </w:pPr>
      <w:bookmarkStart w:id="49" w:name="_Ref41429250"/>
      <w:r>
        <w:t xml:space="preserve">Figure </w:t>
      </w:r>
      <w:fldSimple w:instr=" SEQ Figure \* ARABIC ">
        <w:r w:rsidR="00CC108E">
          <w:rPr>
            <w:noProof/>
          </w:rPr>
          <w:t>24</w:t>
        </w:r>
      </w:fldSimple>
      <w:bookmarkEnd w:id="49"/>
      <w:r>
        <w:t>: Cumulative n</w:t>
      </w:r>
      <w:r w:rsidRPr="00862F88">
        <w:t xml:space="preserve">umber </w:t>
      </w:r>
      <w:r>
        <w:t xml:space="preserve">of radiation oncology first specialist assessments </w:t>
      </w:r>
      <w:r w:rsidRPr="00862F88">
        <w:t>by month and year, total population (left) and for Māori (right)</w:t>
      </w:r>
    </w:p>
    <w:p w14:paraId="3F46809D" w14:textId="4BBB009E" w:rsidR="000E4F91" w:rsidRPr="000E4F91" w:rsidRDefault="005E1846" w:rsidP="000E4F91">
      <w:r>
        <w:rPr>
          <w:noProof/>
        </w:rPr>
        <w:drawing>
          <wp:inline distT="0" distB="0" distL="0" distR="0" wp14:anchorId="6FAF3020" wp14:editId="159C4F7A">
            <wp:extent cx="3114675" cy="2743200"/>
            <wp:effectExtent l="0" t="0" r="9525" b="0"/>
            <wp:docPr id="95" name="Chart 95">
              <a:extLst xmlns:a="http://schemas.openxmlformats.org/drawingml/2006/main">
                <a:ext uri="{FF2B5EF4-FFF2-40B4-BE49-F238E27FC236}">
                  <a16:creationId xmlns:a16="http://schemas.microsoft.com/office/drawing/2014/main" id="{42329AF3-7B84-4B50-8021-E647E93089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noProof/>
        </w:rPr>
        <w:drawing>
          <wp:inline distT="0" distB="0" distL="0" distR="0" wp14:anchorId="4715951E" wp14:editId="28A1B5C4">
            <wp:extent cx="3067050" cy="2743200"/>
            <wp:effectExtent l="0" t="0" r="0" b="0"/>
            <wp:docPr id="96" name="Chart 96">
              <a:extLst xmlns:a="http://schemas.openxmlformats.org/drawingml/2006/main">
                <a:ext uri="{FF2B5EF4-FFF2-40B4-BE49-F238E27FC236}">
                  <a16:creationId xmlns:a16="http://schemas.microsoft.com/office/drawing/2014/main" id="{77E4EC23-1E10-4FC3-9694-69FC6436A7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FB4D1D8" w14:textId="3604341E" w:rsidR="00D70CF8" w:rsidRDefault="00D70CF8" w:rsidP="00313334">
      <w:r>
        <w:t>There was an overall reduction in radiation therapy attendances (for planning and for treatment) in April 2020 compared to April 2019 (</w:t>
      </w:r>
      <w:r>
        <w:fldChar w:fldCharType="begin"/>
      </w:r>
      <w:r>
        <w:instrText xml:space="preserve"> REF _Ref41429511 \h </w:instrText>
      </w:r>
      <w:r>
        <w:fldChar w:fldCharType="separate"/>
      </w:r>
      <w:r w:rsidR="00CC108E">
        <w:t xml:space="preserve">Table </w:t>
      </w:r>
      <w:r w:rsidR="00CC108E">
        <w:rPr>
          <w:noProof/>
        </w:rPr>
        <w:t>13</w:t>
      </w:r>
      <w:r>
        <w:fldChar w:fldCharType="end"/>
      </w:r>
      <w:r>
        <w:t>)</w:t>
      </w:r>
      <w:r w:rsidR="00313334">
        <w:t xml:space="preserve">. </w:t>
      </w:r>
      <w:r>
        <w:t>This decrease was slightly larger for Māori than for non-Māori</w:t>
      </w:r>
      <w:r w:rsidR="00652E60">
        <w:t xml:space="preserve"> (</w:t>
      </w:r>
      <w:r w:rsidR="00652E60">
        <w:fldChar w:fldCharType="begin"/>
      </w:r>
      <w:r w:rsidR="00652E60">
        <w:instrText xml:space="preserve"> REF _Ref41474120 \h </w:instrText>
      </w:r>
      <w:r w:rsidR="00652E60">
        <w:fldChar w:fldCharType="separate"/>
      </w:r>
      <w:r w:rsidR="00CC108E">
        <w:t xml:space="preserve">Figure </w:t>
      </w:r>
      <w:r w:rsidR="00CC108E">
        <w:rPr>
          <w:noProof/>
        </w:rPr>
        <w:t>25</w:t>
      </w:r>
      <w:r w:rsidR="00652E60">
        <w:fldChar w:fldCharType="end"/>
      </w:r>
      <w:r w:rsidR="00652E60">
        <w:t xml:space="preserve"> and </w:t>
      </w:r>
      <w:r w:rsidR="00652E60">
        <w:fldChar w:fldCharType="begin"/>
      </w:r>
      <w:r w:rsidR="00652E60">
        <w:instrText xml:space="preserve"> REF _Ref41474140 \h </w:instrText>
      </w:r>
      <w:r w:rsidR="00652E60">
        <w:fldChar w:fldCharType="separate"/>
      </w:r>
      <w:r w:rsidR="00CC108E">
        <w:t xml:space="preserve">Figure </w:t>
      </w:r>
      <w:r w:rsidR="00CC108E">
        <w:rPr>
          <w:noProof/>
        </w:rPr>
        <w:t>26</w:t>
      </w:r>
      <w:r w:rsidR="00652E60">
        <w:fldChar w:fldCharType="end"/>
      </w:r>
      <w:r w:rsidR="00652E60">
        <w:t>)</w:t>
      </w:r>
      <w:r>
        <w:t xml:space="preserve">. </w:t>
      </w:r>
    </w:p>
    <w:p w14:paraId="547BD5D7" w14:textId="1151CE4D" w:rsidR="00D70CF8" w:rsidRDefault="00D70CF8" w:rsidP="00D70CF8">
      <w:pPr>
        <w:pStyle w:val="Caption"/>
        <w:keepNext/>
      </w:pPr>
      <w:bookmarkStart w:id="50" w:name="_Ref41429511"/>
      <w:r>
        <w:t xml:space="preserve">Table </w:t>
      </w:r>
      <w:fldSimple w:instr=" SEQ Table \* ARABIC ">
        <w:r w:rsidR="00CC108E">
          <w:rPr>
            <w:noProof/>
          </w:rPr>
          <w:t>13</w:t>
        </w:r>
      </w:fldSimple>
      <w:bookmarkEnd w:id="50"/>
      <w:r>
        <w:t xml:space="preserve">: </w:t>
      </w:r>
      <w:r w:rsidRPr="00C60980">
        <w:t>Percentage change in radiation therapy attendances in 2020 compared to 2019 by month, and cumulative year to date</w:t>
      </w:r>
    </w:p>
    <w:tbl>
      <w:tblPr>
        <w:tblW w:w="8160" w:type="dxa"/>
        <w:jc w:val="center"/>
        <w:tblLook w:val="04A0" w:firstRow="1" w:lastRow="0" w:firstColumn="1" w:lastColumn="0" w:noHBand="0" w:noVBand="1"/>
      </w:tblPr>
      <w:tblGrid>
        <w:gridCol w:w="2353"/>
        <w:gridCol w:w="1102"/>
        <w:gridCol w:w="1106"/>
        <w:gridCol w:w="1106"/>
        <w:gridCol w:w="1165"/>
        <w:gridCol w:w="1328"/>
      </w:tblGrid>
      <w:tr w:rsidR="007828C3" w:rsidRPr="00D70CF8" w14:paraId="4C98E9F2" w14:textId="77777777" w:rsidTr="00D70CF8">
        <w:trPr>
          <w:trHeight w:val="261"/>
          <w:jc w:val="center"/>
        </w:trPr>
        <w:tc>
          <w:tcPr>
            <w:tcW w:w="2353" w:type="dxa"/>
            <w:tcBorders>
              <w:bottom w:val="single" w:sz="4" w:space="0" w:color="auto"/>
              <w:right w:val="single" w:sz="4" w:space="0" w:color="auto"/>
            </w:tcBorders>
            <w:shd w:val="clear" w:color="auto" w:fill="auto"/>
            <w:noWrap/>
            <w:vAlign w:val="bottom"/>
            <w:hideMark/>
          </w:tcPr>
          <w:p w14:paraId="3FC75BF7" w14:textId="77777777" w:rsidR="007828C3" w:rsidRPr="00D70CF8" w:rsidRDefault="007828C3" w:rsidP="007828C3">
            <w:pPr>
              <w:spacing w:after="0" w:line="240" w:lineRule="auto"/>
              <w:rPr>
                <w:rFonts w:ascii="Times New Roman" w:eastAsia="Times New Roman" w:hAnsi="Times New Roman" w:cs="Times New Roman"/>
                <w:sz w:val="20"/>
                <w:szCs w:val="24"/>
                <w:lang w:eastAsia="en-NZ"/>
              </w:rPr>
            </w:pPr>
          </w:p>
        </w:tc>
        <w:tc>
          <w:tcPr>
            <w:tcW w:w="1102" w:type="dxa"/>
            <w:tcBorders>
              <w:left w:val="single" w:sz="4" w:space="0" w:color="auto"/>
              <w:bottom w:val="single" w:sz="4" w:space="0" w:color="auto"/>
            </w:tcBorders>
            <w:shd w:val="clear" w:color="auto" w:fill="auto"/>
            <w:noWrap/>
            <w:vAlign w:val="bottom"/>
            <w:hideMark/>
          </w:tcPr>
          <w:p w14:paraId="5E1FF7F5" w14:textId="77777777" w:rsidR="007828C3" w:rsidRPr="00D70CF8" w:rsidRDefault="007828C3" w:rsidP="00313334">
            <w:pPr>
              <w:spacing w:after="0" w:line="240" w:lineRule="auto"/>
              <w:jc w:val="center"/>
              <w:rPr>
                <w:rFonts w:ascii="Calibri" w:eastAsia="Times New Roman" w:hAnsi="Calibri" w:cs="Times New Roman"/>
                <w:color w:val="000000"/>
                <w:sz w:val="20"/>
                <w:lang w:eastAsia="en-NZ"/>
              </w:rPr>
            </w:pPr>
            <w:r w:rsidRPr="00D70CF8">
              <w:rPr>
                <w:rFonts w:ascii="Calibri" w:eastAsia="Times New Roman" w:hAnsi="Calibri" w:cs="Times New Roman"/>
                <w:color w:val="000000"/>
                <w:sz w:val="20"/>
                <w:lang w:eastAsia="en-NZ"/>
              </w:rPr>
              <w:t>Jan</w:t>
            </w:r>
          </w:p>
        </w:tc>
        <w:tc>
          <w:tcPr>
            <w:tcW w:w="1106" w:type="dxa"/>
            <w:tcBorders>
              <w:bottom w:val="single" w:sz="4" w:space="0" w:color="auto"/>
            </w:tcBorders>
            <w:shd w:val="clear" w:color="auto" w:fill="auto"/>
            <w:noWrap/>
            <w:vAlign w:val="bottom"/>
            <w:hideMark/>
          </w:tcPr>
          <w:p w14:paraId="0B785B0F" w14:textId="77777777" w:rsidR="007828C3" w:rsidRPr="00D70CF8" w:rsidRDefault="007828C3" w:rsidP="00313334">
            <w:pPr>
              <w:spacing w:after="0" w:line="240" w:lineRule="auto"/>
              <w:jc w:val="center"/>
              <w:rPr>
                <w:rFonts w:ascii="Calibri" w:eastAsia="Times New Roman" w:hAnsi="Calibri" w:cs="Times New Roman"/>
                <w:color w:val="000000"/>
                <w:sz w:val="20"/>
                <w:lang w:eastAsia="en-NZ"/>
              </w:rPr>
            </w:pPr>
            <w:r w:rsidRPr="00D70CF8">
              <w:rPr>
                <w:rFonts w:ascii="Calibri" w:eastAsia="Times New Roman" w:hAnsi="Calibri" w:cs="Times New Roman"/>
                <w:color w:val="000000"/>
                <w:sz w:val="20"/>
                <w:lang w:eastAsia="en-NZ"/>
              </w:rPr>
              <w:t>Feb</w:t>
            </w:r>
          </w:p>
        </w:tc>
        <w:tc>
          <w:tcPr>
            <w:tcW w:w="1106" w:type="dxa"/>
            <w:tcBorders>
              <w:bottom w:val="single" w:sz="4" w:space="0" w:color="auto"/>
            </w:tcBorders>
            <w:shd w:val="clear" w:color="auto" w:fill="auto"/>
            <w:noWrap/>
            <w:vAlign w:val="bottom"/>
            <w:hideMark/>
          </w:tcPr>
          <w:p w14:paraId="2349F4E4" w14:textId="77777777" w:rsidR="007828C3" w:rsidRPr="00D70CF8" w:rsidRDefault="007828C3" w:rsidP="00313334">
            <w:pPr>
              <w:spacing w:after="0" w:line="240" w:lineRule="auto"/>
              <w:jc w:val="center"/>
              <w:rPr>
                <w:rFonts w:ascii="Calibri" w:eastAsia="Times New Roman" w:hAnsi="Calibri" w:cs="Times New Roman"/>
                <w:color w:val="000000"/>
                <w:sz w:val="20"/>
                <w:lang w:eastAsia="en-NZ"/>
              </w:rPr>
            </w:pPr>
            <w:r w:rsidRPr="00D70CF8">
              <w:rPr>
                <w:rFonts w:ascii="Calibri" w:eastAsia="Times New Roman" w:hAnsi="Calibri" w:cs="Times New Roman"/>
                <w:color w:val="000000"/>
                <w:sz w:val="20"/>
                <w:lang w:eastAsia="en-NZ"/>
              </w:rPr>
              <w:t>March</w:t>
            </w:r>
          </w:p>
        </w:tc>
        <w:tc>
          <w:tcPr>
            <w:tcW w:w="1165" w:type="dxa"/>
            <w:tcBorders>
              <w:bottom w:val="single" w:sz="4" w:space="0" w:color="auto"/>
              <w:right w:val="single" w:sz="12" w:space="0" w:color="auto"/>
            </w:tcBorders>
            <w:shd w:val="clear" w:color="auto" w:fill="auto"/>
            <w:noWrap/>
            <w:vAlign w:val="bottom"/>
            <w:hideMark/>
          </w:tcPr>
          <w:p w14:paraId="67448945" w14:textId="77777777" w:rsidR="007828C3" w:rsidRPr="00D70CF8" w:rsidRDefault="007828C3" w:rsidP="00313334">
            <w:pPr>
              <w:spacing w:after="0" w:line="240" w:lineRule="auto"/>
              <w:jc w:val="center"/>
              <w:rPr>
                <w:rFonts w:ascii="Calibri" w:eastAsia="Times New Roman" w:hAnsi="Calibri" w:cs="Times New Roman"/>
                <w:color w:val="000000"/>
                <w:sz w:val="20"/>
                <w:lang w:eastAsia="en-NZ"/>
              </w:rPr>
            </w:pPr>
            <w:r w:rsidRPr="00D70CF8">
              <w:rPr>
                <w:rFonts w:ascii="Calibri" w:eastAsia="Times New Roman" w:hAnsi="Calibri" w:cs="Times New Roman"/>
                <w:color w:val="000000"/>
                <w:sz w:val="20"/>
                <w:lang w:eastAsia="en-NZ"/>
              </w:rPr>
              <w:t>April</w:t>
            </w:r>
          </w:p>
        </w:tc>
        <w:tc>
          <w:tcPr>
            <w:tcW w:w="1328" w:type="dxa"/>
            <w:tcBorders>
              <w:left w:val="single" w:sz="12" w:space="0" w:color="auto"/>
              <w:bottom w:val="single" w:sz="4" w:space="0" w:color="auto"/>
            </w:tcBorders>
            <w:shd w:val="clear" w:color="auto" w:fill="auto"/>
            <w:noWrap/>
            <w:vAlign w:val="bottom"/>
            <w:hideMark/>
          </w:tcPr>
          <w:p w14:paraId="4B530FFB" w14:textId="77777777" w:rsidR="007828C3" w:rsidRPr="00D70CF8" w:rsidRDefault="007828C3" w:rsidP="00313334">
            <w:pPr>
              <w:spacing w:after="0" w:line="240" w:lineRule="auto"/>
              <w:jc w:val="center"/>
              <w:rPr>
                <w:rFonts w:ascii="Calibri" w:eastAsia="Times New Roman" w:hAnsi="Calibri" w:cs="Times New Roman"/>
                <w:color w:val="000000"/>
                <w:sz w:val="20"/>
                <w:lang w:eastAsia="en-NZ"/>
              </w:rPr>
            </w:pPr>
            <w:r w:rsidRPr="00D70CF8">
              <w:rPr>
                <w:rFonts w:ascii="Calibri" w:eastAsia="Times New Roman" w:hAnsi="Calibri" w:cs="Times New Roman"/>
                <w:color w:val="000000"/>
                <w:sz w:val="20"/>
                <w:lang w:eastAsia="en-NZ"/>
              </w:rPr>
              <w:t>YTD</w:t>
            </w:r>
          </w:p>
        </w:tc>
      </w:tr>
      <w:tr w:rsidR="009A5C28" w:rsidRPr="00D70CF8" w14:paraId="5D3340A0" w14:textId="77777777" w:rsidTr="00D70CF8">
        <w:trPr>
          <w:trHeight w:val="261"/>
          <w:jc w:val="center"/>
        </w:trPr>
        <w:tc>
          <w:tcPr>
            <w:tcW w:w="2353" w:type="dxa"/>
            <w:tcBorders>
              <w:top w:val="single" w:sz="4" w:space="0" w:color="auto"/>
              <w:right w:val="single" w:sz="4" w:space="0" w:color="auto"/>
            </w:tcBorders>
            <w:shd w:val="clear" w:color="auto" w:fill="auto"/>
            <w:noWrap/>
            <w:vAlign w:val="bottom"/>
          </w:tcPr>
          <w:p w14:paraId="2153D9FC" w14:textId="3978A0FB" w:rsidR="009A5C28" w:rsidRPr="00D70CF8" w:rsidRDefault="009A5C28" w:rsidP="00313334">
            <w:pPr>
              <w:spacing w:after="0" w:line="240" w:lineRule="auto"/>
              <w:jc w:val="right"/>
              <w:rPr>
                <w:rFonts w:ascii="Calibri" w:eastAsia="Times New Roman" w:hAnsi="Calibri" w:cs="Times New Roman"/>
                <w:color w:val="000000"/>
                <w:sz w:val="20"/>
                <w:lang w:eastAsia="en-NZ"/>
              </w:rPr>
            </w:pPr>
            <w:r w:rsidRPr="00D70CF8">
              <w:rPr>
                <w:rFonts w:ascii="Calibri" w:eastAsia="Times New Roman" w:hAnsi="Calibri" w:cs="Times New Roman"/>
                <w:color w:val="000000"/>
                <w:sz w:val="20"/>
                <w:lang w:eastAsia="en-NZ"/>
              </w:rPr>
              <w:t>Māori</w:t>
            </w:r>
          </w:p>
        </w:tc>
        <w:tc>
          <w:tcPr>
            <w:tcW w:w="1102" w:type="dxa"/>
            <w:tcBorders>
              <w:top w:val="single" w:sz="4" w:space="0" w:color="auto"/>
              <w:left w:val="single" w:sz="4" w:space="0" w:color="auto"/>
            </w:tcBorders>
            <w:shd w:val="clear" w:color="auto" w:fill="auto"/>
            <w:noWrap/>
            <w:vAlign w:val="bottom"/>
          </w:tcPr>
          <w:p w14:paraId="28DE4FB2" w14:textId="43FEB2A6" w:rsidR="009A5C28" w:rsidRPr="00D70CF8" w:rsidRDefault="009A5C28" w:rsidP="00313334">
            <w:pPr>
              <w:spacing w:after="0" w:line="240" w:lineRule="auto"/>
              <w:jc w:val="center"/>
              <w:rPr>
                <w:rFonts w:ascii="Calibri" w:eastAsia="Times New Roman" w:hAnsi="Calibri" w:cs="Times New Roman"/>
                <w:color w:val="000000"/>
                <w:sz w:val="20"/>
                <w:lang w:eastAsia="en-NZ"/>
              </w:rPr>
            </w:pPr>
            <w:r w:rsidRPr="00D70CF8">
              <w:rPr>
                <w:rFonts w:ascii="Calibri" w:eastAsia="Times New Roman" w:hAnsi="Calibri" w:cs="Times New Roman"/>
                <w:color w:val="000000"/>
                <w:sz w:val="20"/>
                <w:lang w:eastAsia="en-NZ"/>
              </w:rPr>
              <w:t>-6%</w:t>
            </w:r>
          </w:p>
        </w:tc>
        <w:tc>
          <w:tcPr>
            <w:tcW w:w="1106" w:type="dxa"/>
            <w:tcBorders>
              <w:top w:val="single" w:sz="4" w:space="0" w:color="auto"/>
            </w:tcBorders>
            <w:shd w:val="clear" w:color="auto" w:fill="auto"/>
            <w:noWrap/>
            <w:vAlign w:val="bottom"/>
          </w:tcPr>
          <w:p w14:paraId="73A42D83" w14:textId="4D5EDEC0" w:rsidR="009A5C28" w:rsidRPr="00D70CF8" w:rsidRDefault="009A5C28" w:rsidP="00313334">
            <w:pPr>
              <w:spacing w:after="0" w:line="240" w:lineRule="auto"/>
              <w:jc w:val="center"/>
              <w:rPr>
                <w:rFonts w:ascii="Calibri" w:eastAsia="Times New Roman" w:hAnsi="Calibri" w:cs="Times New Roman"/>
                <w:color w:val="000000"/>
                <w:sz w:val="20"/>
                <w:lang w:eastAsia="en-NZ"/>
              </w:rPr>
            </w:pPr>
            <w:r w:rsidRPr="00D70CF8">
              <w:rPr>
                <w:rFonts w:ascii="Calibri" w:eastAsia="Times New Roman" w:hAnsi="Calibri" w:cs="Times New Roman"/>
                <w:color w:val="000000"/>
                <w:sz w:val="20"/>
                <w:lang w:eastAsia="en-NZ"/>
              </w:rPr>
              <w:t>0%</w:t>
            </w:r>
          </w:p>
        </w:tc>
        <w:tc>
          <w:tcPr>
            <w:tcW w:w="1106" w:type="dxa"/>
            <w:tcBorders>
              <w:top w:val="single" w:sz="4" w:space="0" w:color="auto"/>
            </w:tcBorders>
            <w:shd w:val="clear" w:color="auto" w:fill="auto"/>
            <w:noWrap/>
            <w:vAlign w:val="bottom"/>
          </w:tcPr>
          <w:p w14:paraId="7C72F039" w14:textId="10B7951E" w:rsidR="009A5C28" w:rsidRPr="00D70CF8" w:rsidRDefault="009A5C28" w:rsidP="00313334">
            <w:pPr>
              <w:spacing w:after="0" w:line="240" w:lineRule="auto"/>
              <w:jc w:val="center"/>
              <w:rPr>
                <w:rFonts w:ascii="Calibri" w:eastAsia="Times New Roman" w:hAnsi="Calibri" w:cs="Times New Roman"/>
                <w:color w:val="000000"/>
                <w:sz w:val="20"/>
                <w:lang w:eastAsia="en-NZ"/>
              </w:rPr>
            </w:pPr>
            <w:r w:rsidRPr="00D70CF8">
              <w:rPr>
                <w:rFonts w:ascii="Calibri" w:eastAsia="Times New Roman" w:hAnsi="Calibri" w:cs="Times New Roman"/>
                <w:color w:val="000000"/>
                <w:sz w:val="20"/>
                <w:lang w:eastAsia="en-NZ"/>
              </w:rPr>
              <w:t>-5%</w:t>
            </w:r>
          </w:p>
        </w:tc>
        <w:tc>
          <w:tcPr>
            <w:tcW w:w="1165" w:type="dxa"/>
            <w:tcBorders>
              <w:top w:val="single" w:sz="4" w:space="0" w:color="auto"/>
              <w:right w:val="single" w:sz="12" w:space="0" w:color="auto"/>
            </w:tcBorders>
            <w:shd w:val="clear" w:color="auto" w:fill="auto"/>
            <w:noWrap/>
            <w:vAlign w:val="bottom"/>
          </w:tcPr>
          <w:p w14:paraId="6076C1CD" w14:textId="555AF3F9" w:rsidR="009A5C28" w:rsidRPr="00D70CF8" w:rsidRDefault="009A5C28" w:rsidP="00313334">
            <w:pPr>
              <w:spacing w:after="0" w:line="240" w:lineRule="auto"/>
              <w:jc w:val="center"/>
              <w:rPr>
                <w:rFonts w:ascii="Calibri" w:eastAsia="Times New Roman" w:hAnsi="Calibri" w:cs="Times New Roman"/>
                <w:color w:val="000000"/>
                <w:sz w:val="20"/>
                <w:lang w:eastAsia="en-NZ"/>
              </w:rPr>
            </w:pPr>
            <w:r w:rsidRPr="00D70CF8">
              <w:rPr>
                <w:rFonts w:ascii="Calibri" w:eastAsia="Times New Roman" w:hAnsi="Calibri" w:cs="Times New Roman"/>
                <w:color w:val="000000"/>
                <w:sz w:val="20"/>
                <w:lang w:eastAsia="en-NZ"/>
              </w:rPr>
              <w:t>-24%</w:t>
            </w:r>
          </w:p>
        </w:tc>
        <w:tc>
          <w:tcPr>
            <w:tcW w:w="1328" w:type="dxa"/>
            <w:tcBorders>
              <w:top w:val="single" w:sz="4" w:space="0" w:color="auto"/>
              <w:left w:val="single" w:sz="12" w:space="0" w:color="auto"/>
            </w:tcBorders>
            <w:shd w:val="clear" w:color="auto" w:fill="auto"/>
            <w:noWrap/>
            <w:vAlign w:val="bottom"/>
          </w:tcPr>
          <w:p w14:paraId="46F5C27E" w14:textId="7BD0698E" w:rsidR="009A5C28" w:rsidRPr="00D70CF8" w:rsidRDefault="009A5C28" w:rsidP="00313334">
            <w:pPr>
              <w:spacing w:after="0" w:line="240" w:lineRule="auto"/>
              <w:jc w:val="center"/>
              <w:rPr>
                <w:rFonts w:ascii="Calibri" w:eastAsia="Times New Roman" w:hAnsi="Calibri" w:cs="Times New Roman"/>
                <w:color w:val="000000"/>
                <w:sz w:val="20"/>
                <w:lang w:eastAsia="en-NZ"/>
              </w:rPr>
            </w:pPr>
            <w:r w:rsidRPr="00D70CF8">
              <w:rPr>
                <w:rFonts w:ascii="Calibri" w:eastAsia="Times New Roman" w:hAnsi="Calibri" w:cs="Times New Roman"/>
                <w:color w:val="000000"/>
                <w:sz w:val="20"/>
                <w:lang w:eastAsia="en-NZ"/>
              </w:rPr>
              <w:t>-10%</w:t>
            </w:r>
          </w:p>
        </w:tc>
      </w:tr>
      <w:tr w:rsidR="009A5C28" w:rsidRPr="00D70CF8" w14:paraId="5A2F51FB" w14:textId="77777777" w:rsidTr="00D70CF8">
        <w:trPr>
          <w:trHeight w:val="261"/>
          <w:jc w:val="center"/>
        </w:trPr>
        <w:tc>
          <w:tcPr>
            <w:tcW w:w="2353" w:type="dxa"/>
            <w:tcBorders>
              <w:bottom w:val="single" w:sz="18" w:space="0" w:color="auto"/>
              <w:right w:val="single" w:sz="4" w:space="0" w:color="auto"/>
            </w:tcBorders>
            <w:shd w:val="clear" w:color="auto" w:fill="auto"/>
            <w:noWrap/>
            <w:vAlign w:val="bottom"/>
            <w:hideMark/>
          </w:tcPr>
          <w:p w14:paraId="124326B3" w14:textId="36189735" w:rsidR="009A5C28" w:rsidRPr="00D70CF8" w:rsidRDefault="009A5C28" w:rsidP="00313334">
            <w:pPr>
              <w:spacing w:after="0" w:line="240" w:lineRule="auto"/>
              <w:jc w:val="right"/>
              <w:rPr>
                <w:rFonts w:ascii="Calibri" w:eastAsia="Times New Roman" w:hAnsi="Calibri" w:cs="Times New Roman"/>
                <w:color w:val="000000"/>
                <w:sz w:val="20"/>
                <w:lang w:eastAsia="en-NZ"/>
              </w:rPr>
            </w:pPr>
            <w:r w:rsidRPr="00D70CF8">
              <w:rPr>
                <w:rFonts w:ascii="Calibri" w:eastAsia="Times New Roman" w:hAnsi="Calibri" w:cs="Times New Roman"/>
                <w:color w:val="000000"/>
                <w:sz w:val="20"/>
                <w:lang w:eastAsia="en-NZ"/>
              </w:rPr>
              <w:t>Non-Māori/Non-Pacific</w:t>
            </w:r>
          </w:p>
        </w:tc>
        <w:tc>
          <w:tcPr>
            <w:tcW w:w="1102" w:type="dxa"/>
            <w:tcBorders>
              <w:left w:val="single" w:sz="4" w:space="0" w:color="auto"/>
              <w:bottom w:val="single" w:sz="18" w:space="0" w:color="auto"/>
            </w:tcBorders>
            <w:shd w:val="clear" w:color="auto" w:fill="auto"/>
            <w:noWrap/>
            <w:vAlign w:val="bottom"/>
          </w:tcPr>
          <w:p w14:paraId="35305C12" w14:textId="1E456EFD" w:rsidR="009A5C28" w:rsidRPr="00D70CF8" w:rsidRDefault="009A5C28" w:rsidP="00313334">
            <w:pPr>
              <w:spacing w:after="0" w:line="240" w:lineRule="auto"/>
              <w:jc w:val="center"/>
              <w:rPr>
                <w:rFonts w:ascii="Calibri" w:eastAsia="Times New Roman" w:hAnsi="Calibri" w:cs="Times New Roman"/>
                <w:color w:val="000000"/>
                <w:sz w:val="20"/>
                <w:lang w:eastAsia="en-NZ"/>
              </w:rPr>
            </w:pPr>
            <w:r w:rsidRPr="00D70CF8">
              <w:rPr>
                <w:rFonts w:ascii="Calibri" w:eastAsia="Times New Roman" w:hAnsi="Calibri" w:cs="Times New Roman"/>
                <w:color w:val="000000"/>
                <w:sz w:val="20"/>
                <w:lang w:eastAsia="en-NZ"/>
              </w:rPr>
              <w:t>-3%</w:t>
            </w:r>
          </w:p>
        </w:tc>
        <w:tc>
          <w:tcPr>
            <w:tcW w:w="1106" w:type="dxa"/>
            <w:tcBorders>
              <w:bottom w:val="single" w:sz="18" w:space="0" w:color="auto"/>
            </w:tcBorders>
            <w:shd w:val="clear" w:color="auto" w:fill="auto"/>
            <w:noWrap/>
            <w:vAlign w:val="bottom"/>
          </w:tcPr>
          <w:p w14:paraId="1B48FD7A" w14:textId="5FCE56C0" w:rsidR="009A5C28" w:rsidRPr="00D70CF8" w:rsidRDefault="009A5C28" w:rsidP="00313334">
            <w:pPr>
              <w:spacing w:after="0" w:line="240" w:lineRule="auto"/>
              <w:jc w:val="center"/>
              <w:rPr>
                <w:rFonts w:ascii="Calibri" w:eastAsia="Times New Roman" w:hAnsi="Calibri" w:cs="Times New Roman"/>
                <w:color w:val="000000"/>
                <w:sz w:val="20"/>
                <w:lang w:eastAsia="en-NZ"/>
              </w:rPr>
            </w:pPr>
            <w:r w:rsidRPr="00D70CF8">
              <w:rPr>
                <w:rFonts w:ascii="Calibri" w:eastAsia="Times New Roman" w:hAnsi="Calibri" w:cs="Times New Roman"/>
                <w:color w:val="000000"/>
                <w:sz w:val="20"/>
                <w:lang w:eastAsia="en-NZ"/>
              </w:rPr>
              <w:t>-6%</w:t>
            </w:r>
          </w:p>
        </w:tc>
        <w:tc>
          <w:tcPr>
            <w:tcW w:w="1106" w:type="dxa"/>
            <w:tcBorders>
              <w:bottom w:val="single" w:sz="18" w:space="0" w:color="auto"/>
            </w:tcBorders>
            <w:shd w:val="clear" w:color="auto" w:fill="auto"/>
            <w:noWrap/>
            <w:vAlign w:val="bottom"/>
          </w:tcPr>
          <w:p w14:paraId="5A30EA1D" w14:textId="3B78B34F" w:rsidR="009A5C28" w:rsidRPr="00D70CF8" w:rsidRDefault="009A5C28" w:rsidP="00313334">
            <w:pPr>
              <w:spacing w:after="0" w:line="240" w:lineRule="auto"/>
              <w:jc w:val="center"/>
              <w:rPr>
                <w:rFonts w:ascii="Calibri" w:eastAsia="Times New Roman" w:hAnsi="Calibri" w:cs="Times New Roman"/>
                <w:color w:val="000000"/>
                <w:sz w:val="20"/>
                <w:lang w:eastAsia="en-NZ"/>
              </w:rPr>
            </w:pPr>
            <w:r w:rsidRPr="00D70CF8">
              <w:rPr>
                <w:rFonts w:ascii="Calibri" w:eastAsia="Times New Roman" w:hAnsi="Calibri" w:cs="Times New Roman"/>
                <w:color w:val="000000"/>
                <w:sz w:val="20"/>
                <w:lang w:eastAsia="en-NZ"/>
              </w:rPr>
              <w:t>-3</w:t>
            </w:r>
          </w:p>
        </w:tc>
        <w:tc>
          <w:tcPr>
            <w:tcW w:w="1165" w:type="dxa"/>
            <w:tcBorders>
              <w:bottom w:val="single" w:sz="18" w:space="0" w:color="auto"/>
              <w:right w:val="single" w:sz="12" w:space="0" w:color="auto"/>
            </w:tcBorders>
            <w:shd w:val="clear" w:color="auto" w:fill="auto"/>
            <w:noWrap/>
            <w:vAlign w:val="bottom"/>
          </w:tcPr>
          <w:p w14:paraId="21924E9A" w14:textId="27FB2169" w:rsidR="009A5C28" w:rsidRPr="00D70CF8" w:rsidRDefault="009A5C28" w:rsidP="00313334">
            <w:pPr>
              <w:spacing w:after="0" w:line="240" w:lineRule="auto"/>
              <w:jc w:val="center"/>
              <w:rPr>
                <w:rFonts w:ascii="Calibri" w:eastAsia="Times New Roman" w:hAnsi="Calibri" w:cs="Times New Roman"/>
                <w:color w:val="000000"/>
                <w:sz w:val="20"/>
                <w:lang w:eastAsia="en-NZ"/>
              </w:rPr>
            </w:pPr>
            <w:r w:rsidRPr="00D70CF8">
              <w:rPr>
                <w:rFonts w:ascii="Calibri" w:eastAsia="Times New Roman" w:hAnsi="Calibri" w:cs="Times New Roman"/>
                <w:color w:val="000000"/>
                <w:sz w:val="20"/>
                <w:lang w:eastAsia="en-NZ"/>
              </w:rPr>
              <w:t>-19%</w:t>
            </w:r>
          </w:p>
        </w:tc>
        <w:tc>
          <w:tcPr>
            <w:tcW w:w="1328" w:type="dxa"/>
            <w:tcBorders>
              <w:left w:val="single" w:sz="12" w:space="0" w:color="auto"/>
              <w:bottom w:val="single" w:sz="18" w:space="0" w:color="auto"/>
            </w:tcBorders>
            <w:shd w:val="clear" w:color="auto" w:fill="auto"/>
            <w:noWrap/>
            <w:vAlign w:val="bottom"/>
          </w:tcPr>
          <w:p w14:paraId="04DE2B49" w14:textId="2A9CFD55" w:rsidR="009A5C28" w:rsidRPr="00D70CF8" w:rsidRDefault="009A5C28" w:rsidP="00313334">
            <w:pPr>
              <w:spacing w:after="0" w:line="240" w:lineRule="auto"/>
              <w:jc w:val="center"/>
              <w:rPr>
                <w:rFonts w:ascii="Calibri" w:eastAsia="Times New Roman" w:hAnsi="Calibri" w:cs="Times New Roman"/>
                <w:color w:val="000000"/>
                <w:sz w:val="20"/>
                <w:lang w:eastAsia="en-NZ"/>
              </w:rPr>
            </w:pPr>
            <w:r w:rsidRPr="00D70CF8">
              <w:rPr>
                <w:rFonts w:ascii="Calibri" w:eastAsia="Times New Roman" w:hAnsi="Calibri" w:cs="Times New Roman"/>
                <w:color w:val="000000"/>
                <w:sz w:val="20"/>
                <w:lang w:eastAsia="en-NZ"/>
              </w:rPr>
              <w:t>-8%</w:t>
            </w:r>
          </w:p>
        </w:tc>
      </w:tr>
      <w:tr w:rsidR="009A5C28" w:rsidRPr="00D70CF8" w14:paraId="31C34965" w14:textId="77777777" w:rsidTr="00D70CF8">
        <w:trPr>
          <w:trHeight w:val="261"/>
          <w:jc w:val="center"/>
        </w:trPr>
        <w:tc>
          <w:tcPr>
            <w:tcW w:w="2353" w:type="dxa"/>
            <w:tcBorders>
              <w:top w:val="single" w:sz="18" w:space="0" w:color="auto"/>
              <w:bottom w:val="single" w:sz="4" w:space="0" w:color="auto"/>
              <w:right w:val="single" w:sz="4" w:space="0" w:color="auto"/>
            </w:tcBorders>
            <w:shd w:val="clear" w:color="auto" w:fill="auto"/>
            <w:noWrap/>
            <w:vAlign w:val="bottom"/>
          </w:tcPr>
          <w:p w14:paraId="79D14F10" w14:textId="6EB26407" w:rsidR="009A5C28" w:rsidRPr="00D70CF8" w:rsidRDefault="009A5C28" w:rsidP="00313334">
            <w:pPr>
              <w:spacing w:after="0" w:line="240" w:lineRule="auto"/>
              <w:jc w:val="right"/>
              <w:rPr>
                <w:rFonts w:ascii="Calibri" w:eastAsia="Times New Roman" w:hAnsi="Calibri" w:cs="Times New Roman"/>
                <w:color w:val="000000"/>
                <w:sz w:val="20"/>
                <w:lang w:eastAsia="en-NZ"/>
              </w:rPr>
            </w:pPr>
            <w:r w:rsidRPr="00D70CF8">
              <w:rPr>
                <w:rFonts w:ascii="Calibri" w:eastAsia="Times New Roman" w:hAnsi="Calibri" w:cs="Times New Roman"/>
                <w:color w:val="000000"/>
                <w:sz w:val="20"/>
                <w:lang w:eastAsia="en-NZ"/>
              </w:rPr>
              <w:t>Total</w:t>
            </w:r>
          </w:p>
        </w:tc>
        <w:tc>
          <w:tcPr>
            <w:tcW w:w="1102" w:type="dxa"/>
            <w:tcBorders>
              <w:top w:val="single" w:sz="18" w:space="0" w:color="auto"/>
              <w:left w:val="single" w:sz="4" w:space="0" w:color="auto"/>
              <w:bottom w:val="single" w:sz="4" w:space="0" w:color="auto"/>
            </w:tcBorders>
            <w:shd w:val="clear" w:color="auto" w:fill="auto"/>
            <w:noWrap/>
            <w:vAlign w:val="bottom"/>
          </w:tcPr>
          <w:p w14:paraId="6DD322D4" w14:textId="60330DF1" w:rsidR="009A5C28" w:rsidRPr="00D70CF8" w:rsidRDefault="009A5C28" w:rsidP="00313334">
            <w:pPr>
              <w:spacing w:after="0" w:line="240" w:lineRule="auto"/>
              <w:jc w:val="center"/>
              <w:rPr>
                <w:rFonts w:ascii="Calibri" w:eastAsia="Times New Roman" w:hAnsi="Calibri" w:cs="Times New Roman"/>
                <w:color w:val="000000"/>
                <w:sz w:val="20"/>
                <w:lang w:eastAsia="en-NZ"/>
              </w:rPr>
            </w:pPr>
            <w:r w:rsidRPr="00D70CF8">
              <w:rPr>
                <w:rFonts w:ascii="Calibri" w:eastAsia="Times New Roman" w:hAnsi="Calibri" w:cs="Times New Roman"/>
                <w:color w:val="000000"/>
                <w:sz w:val="20"/>
                <w:lang w:eastAsia="en-NZ"/>
              </w:rPr>
              <w:t>-3%</w:t>
            </w:r>
          </w:p>
        </w:tc>
        <w:tc>
          <w:tcPr>
            <w:tcW w:w="1106" w:type="dxa"/>
            <w:tcBorders>
              <w:top w:val="single" w:sz="18" w:space="0" w:color="auto"/>
              <w:bottom w:val="single" w:sz="4" w:space="0" w:color="auto"/>
            </w:tcBorders>
            <w:shd w:val="clear" w:color="auto" w:fill="auto"/>
            <w:noWrap/>
            <w:vAlign w:val="bottom"/>
          </w:tcPr>
          <w:p w14:paraId="57EC0F55" w14:textId="21AAB0EB" w:rsidR="009A5C28" w:rsidRPr="00D70CF8" w:rsidRDefault="009A5C28" w:rsidP="00313334">
            <w:pPr>
              <w:spacing w:after="0" w:line="240" w:lineRule="auto"/>
              <w:jc w:val="center"/>
              <w:rPr>
                <w:rFonts w:ascii="Calibri" w:eastAsia="Times New Roman" w:hAnsi="Calibri" w:cs="Times New Roman"/>
                <w:color w:val="000000"/>
                <w:sz w:val="20"/>
                <w:lang w:eastAsia="en-NZ"/>
              </w:rPr>
            </w:pPr>
            <w:r w:rsidRPr="00D70CF8">
              <w:rPr>
                <w:rFonts w:ascii="Calibri" w:eastAsia="Times New Roman" w:hAnsi="Calibri" w:cs="Times New Roman"/>
                <w:color w:val="000000"/>
                <w:sz w:val="20"/>
                <w:lang w:eastAsia="en-NZ"/>
              </w:rPr>
              <w:t>-4%</w:t>
            </w:r>
          </w:p>
        </w:tc>
        <w:tc>
          <w:tcPr>
            <w:tcW w:w="1106" w:type="dxa"/>
            <w:tcBorders>
              <w:top w:val="single" w:sz="18" w:space="0" w:color="auto"/>
              <w:bottom w:val="single" w:sz="4" w:space="0" w:color="auto"/>
            </w:tcBorders>
            <w:shd w:val="clear" w:color="auto" w:fill="auto"/>
            <w:noWrap/>
            <w:vAlign w:val="bottom"/>
          </w:tcPr>
          <w:p w14:paraId="16151483" w14:textId="2C51DD19" w:rsidR="009A5C28" w:rsidRPr="00D70CF8" w:rsidRDefault="009A5C28" w:rsidP="00313334">
            <w:pPr>
              <w:spacing w:after="0" w:line="240" w:lineRule="auto"/>
              <w:jc w:val="center"/>
              <w:rPr>
                <w:rFonts w:ascii="Calibri" w:eastAsia="Times New Roman" w:hAnsi="Calibri" w:cs="Times New Roman"/>
                <w:color w:val="000000"/>
                <w:sz w:val="20"/>
                <w:lang w:eastAsia="en-NZ"/>
              </w:rPr>
            </w:pPr>
            <w:r w:rsidRPr="00D70CF8">
              <w:rPr>
                <w:rFonts w:ascii="Calibri" w:eastAsia="Times New Roman" w:hAnsi="Calibri" w:cs="Times New Roman"/>
                <w:color w:val="000000"/>
                <w:sz w:val="20"/>
                <w:lang w:eastAsia="en-NZ"/>
              </w:rPr>
              <w:t>-2%</w:t>
            </w:r>
          </w:p>
        </w:tc>
        <w:tc>
          <w:tcPr>
            <w:tcW w:w="1165" w:type="dxa"/>
            <w:tcBorders>
              <w:top w:val="single" w:sz="18" w:space="0" w:color="auto"/>
              <w:bottom w:val="single" w:sz="4" w:space="0" w:color="auto"/>
              <w:right w:val="single" w:sz="12" w:space="0" w:color="auto"/>
            </w:tcBorders>
            <w:shd w:val="clear" w:color="auto" w:fill="auto"/>
            <w:noWrap/>
            <w:vAlign w:val="bottom"/>
          </w:tcPr>
          <w:p w14:paraId="41C096E5" w14:textId="5FF5F34B" w:rsidR="009A5C28" w:rsidRPr="00D70CF8" w:rsidRDefault="009A5C28" w:rsidP="00313334">
            <w:pPr>
              <w:spacing w:after="0" w:line="240" w:lineRule="auto"/>
              <w:jc w:val="center"/>
              <w:rPr>
                <w:rFonts w:ascii="Calibri" w:eastAsia="Times New Roman" w:hAnsi="Calibri" w:cs="Times New Roman"/>
                <w:color w:val="000000"/>
                <w:sz w:val="20"/>
                <w:lang w:eastAsia="en-NZ"/>
              </w:rPr>
            </w:pPr>
            <w:r w:rsidRPr="00D70CF8">
              <w:rPr>
                <w:rFonts w:ascii="Calibri" w:eastAsia="Times New Roman" w:hAnsi="Calibri" w:cs="Times New Roman"/>
                <w:color w:val="000000"/>
                <w:sz w:val="20"/>
                <w:lang w:eastAsia="en-NZ"/>
              </w:rPr>
              <w:t>-19%</w:t>
            </w:r>
          </w:p>
        </w:tc>
        <w:tc>
          <w:tcPr>
            <w:tcW w:w="1328" w:type="dxa"/>
            <w:tcBorders>
              <w:top w:val="single" w:sz="18" w:space="0" w:color="auto"/>
              <w:left w:val="single" w:sz="12" w:space="0" w:color="auto"/>
              <w:bottom w:val="single" w:sz="4" w:space="0" w:color="auto"/>
            </w:tcBorders>
            <w:shd w:val="clear" w:color="auto" w:fill="auto"/>
            <w:noWrap/>
            <w:vAlign w:val="bottom"/>
          </w:tcPr>
          <w:p w14:paraId="1469969A" w14:textId="01D2FEFA" w:rsidR="009A5C28" w:rsidRPr="00D70CF8" w:rsidRDefault="009A5C28" w:rsidP="00313334">
            <w:pPr>
              <w:keepNext/>
              <w:spacing w:after="0" w:line="240" w:lineRule="auto"/>
              <w:jc w:val="center"/>
              <w:rPr>
                <w:rFonts w:ascii="Calibri" w:eastAsia="Times New Roman" w:hAnsi="Calibri" w:cs="Times New Roman"/>
                <w:color w:val="000000"/>
                <w:sz w:val="20"/>
                <w:lang w:eastAsia="en-NZ"/>
              </w:rPr>
            </w:pPr>
            <w:r w:rsidRPr="00D70CF8">
              <w:rPr>
                <w:rFonts w:ascii="Calibri" w:eastAsia="Times New Roman" w:hAnsi="Calibri" w:cs="Times New Roman"/>
                <w:color w:val="000000"/>
                <w:sz w:val="20"/>
                <w:lang w:eastAsia="en-NZ"/>
              </w:rPr>
              <w:t>-7%</w:t>
            </w:r>
          </w:p>
        </w:tc>
      </w:tr>
    </w:tbl>
    <w:p w14:paraId="296B0C70" w14:textId="677B1217" w:rsidR="00D70CF8" w:rsidRDefault="00D70CF8" w:rsidP="00D70CF8">
      <w:pPr>
        <w:pStyle w:val="Caption"/>
        <w:keepNext/>
      </w:pPr>
      <w:bookmarkStart w:id="51" w:name="_Ref41474120"/>
      <w:r>
        <w:lastRenderedPageBreak/>
        <w:t xml:space="preserve">Figure </w:t>
      </w:r>
      <w:fldSimple w:instr=" SEQ Figure \* ARABIC ">
        <w:r w:rsidR="00CC108E">
          <w:rPr>
            <w:noProof/>
          </w:rPr>
          <w:t>25</w:t>
        </w:r>
      </w:fldSimple>
      <w:bookmarkEnd w:id="51"/>
      <w:r>
        <w:t xml:space="preserve">: </w:t>
      </w:r>
      <w:r w:rsidRPr="00862F88">
        <w:t>Number</w:t>
      </w:r>
      <w:r>
        <w:t xml:space="preserve"> </w:t>
      </w:r>
      <w:r w:rsidR="00900343">
        <w:t xml:space="preserve">of </w:t>
      </w:r>
      <w:r>
        <w:t xml:space="preserve">attendances for radiation therapy </w:t>
      </w:r>
      <w:r w:rsidRPr="00862F88">
        <w:t>by month and year, total population (left) and for Māori (right)</w:t>
      </w:r>
    </w:p>
    <w:p w14:paraId="5B3F3F24" w14:textId="77777777" w:rsidR="00D70CF8" w:rsidRDefault="009A5C28" w:rsidP="00A62F80">
      <w:r>
        <w:rPr>
          <w:noProof/>
        </w:rPr>
        <w:drawing>
          <wp:inline distT="0" distB="0" distL="0" distR="0" wp14:anchorId="07C2BFA9" wp14:editId="5EC6EDC1">
            <wp:extent cx="3148330" cy="2876550"/>
            <wp:effectExtent l="0" t="0" r="13970" b="0"/>
            <wp:docPr id="52" name="Chart 52">
              <a:extLst xmlns:a="http://schemas.openxmlformats.org/drawingml/2006/main">
                <a:ext uri="{FF2B5EF4-FFF2-40B4-BE49-F238E27FC236}">
                  <a16:creationId xmlns:a16="http://schemas.microsoft.com/office/drawing/2014/main" id="{2F36608A-3572-424D-A4D6-65E74C0A00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noProof/>
        </w:rPr>
        <w:drawing>
          <wp:inline distT="0" distB="0" distL="0" distR="0" wp14:anchorId="20BE66C6" wp14:editId="109BDEE1">
            <wp:extent cx="2965450" cy="2876550"/>
            <wp:effectExtent l="0" t="0" r="6350" b="0"/>
            <wp:docPr id="53" name="Chart 53">
              <a:extLst xmlns:a="http://schemas.openxmlformats.org/drawingml/2006/main">
                <a:ext uri="{FF2B5EF4-FFF2-40B4-BE49-F238E27FC236}">
                  <a16:creationId xmlns:a16="http://schemas.microsoft.com/office/drawing/2014/main" id="{8473F576-FF19-47EB-8290-2547719E34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4663FD1" w14:textId="4CA024BB" w:rsidR="00D70CF8" w:rsidRDefault="00D70CF8" w:rsidP="00D70CF8">
      <w:pPr>
        <w:pStyle w:val="Caption"/>
        <w:keepNext/>
      </w:pPr>
      <w:bookmarkStart w:id="52" w:name="_Ref41474140"/>
      <w:r>
        <w:t xml:space="preserve">Figure </w:t>
      </w:r>
      <w:fldSimple w:instr=" SEQ Figure \* ARABIC ">
        <w:r w:rsidR="00CC108E">
          <w:rPr>
            <w:noProof/>
          </w:rPr>
          <w:t>26</w:t>
        </w:r>
      </w:fldSimple>
      <w:bookmarkEnd w:id="52"/>
      <w:r>
        <w:t>: Cumulative n</w:t>
      </w:r>
      <w:r w:rsidRPr="00BF7004">
        <w:t>umber</w:t>
      </w:r>
      <w:r w:rsidR="00900343">
        <w:t xml:space="preserve"> of</w:t>
      </w:r>
      <w:r w:rsidRPr="00BF7004">
        <w:t xml:space="preserve"> attendances for radiation therapy by month and year, total population (left) and for Māori (right)</w:t>
      </w:r>
    </w:p>
    <w:p w14:paraId="569A9F2B" w14:textId="389585EA" w:rsidR="009A5C28" w:rsidRDefault="009A5C28" w:rsidP="00A62F80">
      <w:r>
        <w:rPr>
          <w:noProof/>
        </w:rPr>
        <w:drawing>
          <wp:inline distT="0" distB="0" distL="0" distR="0" wp14:anchorId="3FB52217" wp14:editId="27CB9918">
            <wp:extent cx="3156585" cy="2886075"/>
            <wp:effectExtent l="0" t="0" r="5715" b="9525"/>
            <wp:docPr id="54" name="Chart 54">
              <a:extLst xmlns:a="http://schemas.openxmlformats.org/drawingml/2006/main">
                <a:ext uri="{FF2B5EF4-FFF2-40B4-BE49-F238E27FC236}">
                  <a16:creationId xmlns:a16="http://schemas.microsoft.com/office/drawing/2014/main" id="{51414CE1-D6C2-4E2E-BD57-53D5C67870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D06C61">
        <w:rPr>
          <w:noProof/>
        </w:rPr>
        <w:drawing>
          <wp:inline distT="0" distB="0" distL="0" distR="0" wp14:anchorId="41D7AB2C" wp14:editId="41E4F60B">
            <wp:extent cx="2981325" cy="2895600"/>
            <wp:effectExtent l="0" t="0" r="9525" b="0"/>
            <wp:docPr id="55" name="Chart 55">
              <a:extLst xmlns:a="http://schemas.openxmlformats.org/drawingml/2006/main">
                <a:ext uri="{FF2B5EF4-FFF2-40B4-BE49-F238E27FC236}">
                  <a16:creationId xmlns:a16="http://schemas.microsoft.com/office/drawing/2014/main" id="{1AE277C0-F511-44B5-96A0-EEEA5CADA9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468E871" w14:textId="7E80DB08" w:rsidR="007828C3" w:rsidRPr="007828C3" w:rsidRDefault="00023AB2" w:rsidP="007828C3">
      <w:pPr>
        <w:pStyle w:val="Heading2"/>
      </w:pPr>
      <w:r>
        <w:t>Key points</w:t>
      </w:r>
    </w:p>
    <w:p w14:paraId="781A7BEA" w14:textId="77777777" w:rsidR="00E03D52" w:rsidRDefault="00E03D52" w:rsidP="00E03D52">
      <w:pPr>
        <w:pStyle w:val="ListParagraph"/>
        <w:numPr>
          <w:ilvl w:val="0"/>
          <w:numId w:val="6"/>
        </w:numPr>
      </w:pPr>
      <w:r>
        <w:t xml:space="preserve">Attendance for radiation oncology first specialist assessment remained stable during lockdown. </w:t>
      </w:r>
    </w:p>
    <w:p w14:paraId="2B10C3F5" w14:textId="148B9564" w:rsidR="00E03D52" w:rsidRDefault="00E03D52" w:rsidP="00E03D52">
      <w:pPr>
        <w:pStyle w:val="ListParagraph"/>
        <w:numPr>
          <w:ilvl w:val="0"/>
          <w:numId w:val="6"/>
        </w:numPr>
      </w:pPr>
      <w:r>
        <w:t>There was an overall reduction in attendances for radiotherapy during April 2020 compared to April 2019. This may reflect implementation of the nationally agreed upon guidance</w:t>
      </w:r>
      <w:r w:rsidR="00D70CF8">
        <w:t xml:space="preserve"> as part of COVID-19 planning to minimise the risk of COVID-10 spread. This included </w:t>
      </w:r>
      <w:r>
        <w:t>hypo-fractionat</w:t>
      </w:r>
      <w:r w:rsidR="00D70CF8">
        <w:t xml:space="preserve">ion </w:t>
      </w:r>
      <w:r>
        <w:t>where possible and appropriate</w:t>
      </w:r>
      <w:r w:rsidR="00B715E7">
        <w:t>,</w:t>
      </w:r>
      <w:r>
        <w:t xml:space="preserve"> </w:t>
      </w:r>
      <w:r w:rsidR="00D70CF8">
        <w:t xml:space="preserve">and consideration of alternative treatment option, such as hormone therapy for prostate cancer. </w:t>
      </w:r>
    </w:p>
    <w:p w14:paraId="6BA1CB6D" w14:textId="4E85AEBC" w:rsidR="00B715E7" w:rsidRPr="00E7798C" w:rsidRDefault="00E03D52" w:rsidP="00B715E7">
      <w:pPr>
        <w:pStyle w:val="ListParagraph"/>
        <w:numPr>
          <w:ilvl w:val="0"/>
          <w:numId w:val="6"/>
        </w:numPr>
      </w:pPr>
      <w:r>
        <w:t xml:space="preserve">There was a larger decrease in radiation oncology attendances for Māori compared to non-Māori during the lockdown, which is different from the pattern seen for IV chemotherapy. This may reflect the regional nature of radiotherapy services and greater requirement to travel for treatment. There </w:t>
      </w:r>
      <w:r>
        <w:lastRenderedPageBreak/>
        <w:t xml:space="preserve">were disruptions to transport and accommodation options during the lockdown, which may have disproportionately impacted on Māori. </w:t>
      </w:r>
      <w:r w:rsidR="00B715E7">
        <w:t xml:space="preserve">This may also reflect Māori having more advanced disease at presentation, which would result in shorter courses of radiotherapy. </w:t>
      </w:r>
    </w:p>
    <w:p w14:paraId="453C6B22" w14:textId="77777777" w:rsidR="002A3BC8" w:rsidRDefault="002A3BC8" w:rsidP="002A3BC8">
      <w:pPr>
        <w:pStyle w:val="Heading1"/>
      </w:pPr>
      <w:bookmarkStart w:id="53" w:name="_Toc41410751"/>
      <w:bookmarkStart w:id="54" w:name="_Toc41474448"/>
      <w:r>
        <w:t>Haematology</w:t>
      </w:r>
      <w:bookmarkEnd w:id="53"/>
      <w:bookmarkEnd w:id="54"/>
    </w:p>
    <w:p w14:paraId="39E6DBAE" w14:textId="4173D0E8" w:rsidR="007828C3" w:rsidRDefault="007828C3" w:rsidP="007828C3">
      <w:pPr>
        <w:pStyle w:val="Heading2"/>
      </w:pPr>
      <w:r>
        <w:t>Notes on data</w:t>
      </w:r>
    </w:p>
    <w:p w14:paraId="19D8354C" w14:textId="02755CF5" w:rsidR="00D06C61" w:rsidRDefault="00D06C61" w:rsidP="00D06C61">
      <w:pPr>
        <w:pStyle w:val="ListParagraph"/>
        <w:numPr>
          <w:ilvl w:val="0"/>
          <w:numId w:val="33"/>
        </w:numPr>
      </w:pPr>
      <w:r w:rsidRPr="00D06C61">
        <w:t>Extracted from</w:t>
      </w:r>
      <w:r>
        <w:t xml:space="preserve"> </w:t>
      </w:r>
      <w:r w:rsidRPr="00D06C61">
        <w:t xml:space="preserve">National Non-admitted </w:t>
      </w:r>
      <w:r w:rsidR="00631B0F">
        <w:t>P</w:t>
      </w:r>
      <w:r w:rsidRPr="00D06C61">
        <w:t xml:space="preserve">atient </w:t>
      </w:r>
      <w:r w:rsidR="00631B0F">
        <w:t>C</w:t>
      </w:r>
      <w:r w:rsidRPr="00D06C61">
        <w:t>ollection</w:t>
      </w:r>
      <w:r w:rsidR="00B715E7">
        <w:t xml:space="preserve"> 21 </w:t>
      </w:r>
      <w:r w:rsidR="00900343">
        <w:t xml:space="preserve">May </w:t>
      </w:r>
      <w:r w:rsidR="00B715E7">
        <w:t xml:space="preserve">2020. </w:t>
      </w:r>
    </w:p>
    <w:p w14:paraId="3BF0A8FB" w14:textId="6D26956B" w:rsidR="00E049E0" w:rsidRDefault="00E049E0" w:rsidP="00D06C61">
      <w:pPr>
        <w:pStyle w:val="ListParagraph"/>
        <w:numPr>
          <w:ilvl w:val="0"/>
          <w:numId w:val="33"/>
        </w:numPr>
      </w:pPr>
      <w:r>
        <w:t xml:space="preserve">First specialist </w:t>
      </w:r>
      <w:r w:rsidR="006D4241">
        <w:t xml:space="preserve">assessment </w:t>
      </w:r>
      <w:r>
        <w:t xml:space="preserve">(FSA) reflects counts of first attendance for specialist </w:t>
      </w:r>
      <w:r w:rsidR="00631B0F">
        <w:t xml:space="preserve">haematology </w:t>
      </w:r>
      <w:r>
        <w:t>assessment</w:t>
      </w:r>
      <w:r w:rsidR="00297657">
        <w:t xml:space="preserve"> </w:t>
      </w:r>
      <w:r w:rsidR="00631B0F">
        <w:t>for any indication (</w:t>
      </w:r>
      <w:r w:rsidR="00B715E7">
        <w:t>i.e.</w:t>
      </w:r>
      <w:r w:rsidR="00631B0F">
        <w:t xml:space="preserve"> not just cancer)</w:t>
      </w:r>
      <w:r>
        <w:t xml:space="preserve">. </w:t>
      </w:r>
    </w:p>
    <w:p w14:paraId="0945BF52" w14:textId="5980A735" w:rsidR="003F015A" w:rsidRPr="00D06C61" w:rsidRDefault="00E049E0" w:rsidP="00D06C61">
      <w:pPr>
        <w:pStyle w:val="ListParagraph"/>
        <w:numPr>
          <w:ilvl w:val="0"/>
          <w:numId w:val="33"/>
        </w:numPr>
      </w:pPr>
      <w:r>
        <w:t>IV chemotherapy r</w:t>
      </w:r>
      <w:r w:rsidR="003F015A" w:rsidRPr="00D06C61">
        <w:t>eflects appointments for IV chemo</w:t>
      </w:r>
      <w:r w:rsidR="003F015A">
        <w:t>therapy</w:t>
      </w:r>
      <w:r w:rsidR="003F015A" w:rsidRPr="00D06C61">
        <w:t xml:space="preserve"> for haematological malignancies</w:t>
      </w:r>
      <w:r w:rsidR="00631B0F">
        <w:t>.</w:t>
      </w:r>
    </w:p>
    <w:p w14:paraId="66DF0226" w14:textId="48179F05" w:rsidR="00D06C61" w:rsidRPr="00D06C61" w:rsidRDefault="003F015A" w:rsidP="00E049E0">
      <w:pPr>
        <w:pStyle w:val="ListParagraph"/>
        <w:numPr>
          <w:ilvl w:val="0"/>
          <w:numId w:val="33"/>
        </w:numPr>
      </w:pPr>
      <w:r>
        <w:t xml:space="preserve">Technical information: </w:t>
      </w:r>
      <w:r w:rsidR="0055119B">
        <w:t>H</w:t>
      </w:r>
      <w:r w:rsidR="00E049E0" w:rsidRPr="00E049E0">
        <w:t>aematology</w:t>
      </w:r>
      <w:r w:rsidR="00E049E0">
        <w:t xml:space="preserve"> FSA </w:t>
      </w:r>
      <w:r w:rsidR="00E049E0" w:rsidRPr="00E049E0">
        <w:t>(P</w:t>
      </w:r>
      <w:r w:rsidR="00BF4D3E">
        <w:t xml:space="preserve">urchase Unite Code - </w:t>
      </w:r>
      <w:r w:rsidR="00E049E0" w:rsidRPr="00E049E0">
        <w:t>M30</w:t>
      </w:r>
      <w:r w:rsidR="00652E60">
        <w:t>0</w:t>
      </w:r>
      <w:r w:rsidR="00E049E0" w:rsidRPr="00E049E0">
        <w:t>02)</w:t>
      </w:r>
      <w:r w:rsidR="00E049E0">
        <w:t xml:space="preserve">, </w:t>
      </w:r>
      <w:r w:rsidR="0055119B">
        <w:t>o</w:t>
      </w:r>
      <w:r w:rsidR="00D06C61" w:rsidRPr="00D06C61">
        <w:t>utpatient IV haem/chemo (Purchase Unit Code - M30020)</w:t>
      </w:r>
      <w:r w:rsidR="00E049E0">
        <w:t>.</w:t>
      </w:r>
    </w:p>
    <w:p w14:paraId="6886845D" w14:textId="5F2D4143" w:rsidR="007828C3" w:rsidRDefault="007828C3" w:rsidP="007828C3">
      <w:pPr>
        <w:pStyle w:val="Heading2"/>
      </w:pPr>
      <w:r>
        <w:t>Results</w:t>
      </w:r>
    </w:p>
    <w:p w14:paraId="662D884C" w14:textId="722F5972" w:rsidR="00E049E0" w:rsidRPr="00E049E0" w:rsidRDefault="00B715E7" w:rsidP="00E049E0">
      <w:r>
        <w:t>There was an overall decrease in haematology first specialist assessments in April 2020 compared to April 2019 (</w:t>
      </w:r>
      <w:r>
        <w:fldChar w:fldCharType="begin"/>
      </w:r>
      <w:r>
        <w:instrText xml:space="preserve"> REF _Ref41430285 \h </w:instrText>
      </w:r>
      <w:r>
        <w:fldChar w:fldCharType="separate"/>
      </w:r>
      <w:r w:rsidR="00CC108E">
        <w:t xml:space="preserve">Table </w:t>
      </w:r>
      <w:r w:rsidR="00CC108E">
        <w:rPr>
          <w:noProof/>
        </w:rPr>
        <w:t>14</w:t>
      </w:r>
      <w:r>
        <w:fldChar w:fldCharType="end"/>
      </w:r>
      <w:r>
        <w:t xml:space="preserve">). </w:t>
      </w:r>
    </w:p>
    <w:p w14:paraId="7AA007BD" w14:textId="407FB4B3" w:rsidR="00B715E7" w:rsidRDefault="00B715E7" w:rsidP="00B715E7">
      <w:pPr>
        <w:pStyle w:val="Caption"/>
        <w:keepNext/>
      </w:pPr>
      <w:bookmarkStart w:id="55" w:name="_Ref41430285"/>
      <w:r>
        <w:t xml:space="preserve">Table </w:t>
      </w:r>
      <w:fldSimple w:instr=" SEQ Table \* ARABIC ">
        <w:r w:rsidR="00CC108E">
          <w:rPr>
            <w:noProof/>
          </w:rPr>
          <w:t>14</w:t>
        </w:r>
      </w:fldSimple>
      <w:bookmarkEnd w:id="55"/>
      <w:r>
        <w:t xml:space="preserve">: </w:t>
      </w:r>
      <w:r w:rsidRPr="006949FE">
        <w:t>Percentage change in haematology FSAs in 2020 compared to 2019 by month, and cumulative year to date</w:t>
      </w:r>
    </w:p>
    <w:tbl>
      <w:tblPr>
        <w:tblW w:w="8607" w:type="dxa"/>
        <w:jc w:val="center"/>
        <w:tblLook w:val="04A0" w:firstRow="1" w:lastRow="0" w:firstColumn="1" w:lastColumn="0" w:noHBand="0" w:noVBand="1"/>
      </w:tblPr>
      <w:tblGrid>
        <w:gridCol w:w="2268"/>
        <w:gridCol w:w="1134"/>
        <w:gridCol w:w="1276"/>
        <w:gridCol w:w="1199"/>
        <w:gridCol w:w="1365"/>
        <w:gridCol w:w="1365"/>
      </w:tblGrid>
      <w:tr w:rsidR="00E049E0" w:rsidRPr="007828C3" w14:paraId="682B98D3" w14:textId="77777777" w:rsidTr="00A26AAA">
        <w:trPr>
          <w:trHeight w:val="244"/>
          <w:jc w:val="center"/>
        </w:trPr>
        <w:tc>
          <w:tcPr>
            <w:tcW w:w="2268" w:type="dxa"/>
            <w:tcBorders>
              <w:top w:val="nil"/>
              <w:left w:val="nil"/>
              <w:bottom w:val="single" w:sz="4" w:space="0" w:color="auto"/>
              <w:right w:val="single" w:sz="4" w:space="0" w:color="auto"/>
            </w:tcBorders>
            <w:shd w:val="clear" w:color="auto" w:fill="auto"/>
            <w:noWrap/>
            <w:vAlign w:val="bottom"/>
            <w:hideMark/>
          </w:tcPr>
          <w:p w14:paraId="531955A9" w14:textId="77777777" w:rsidR="00E049E0" w:rsidRPr="007828C3" w:rsidRDefault="00E049E0" w:rsidP="00E049E0">
            <w:pPr>
              <w:spacing w:after="0" w:line="240" w:lineRule="auto"/>
              <w:rPr>
                <w:rFonts w:ascii="Times New Roman" w:eastAsia="Times New Roman" w:hAnsi="Times New Roman" w:cs="Times New Roman"/>
                <w:sz w:val="24"/>
                <w:szCs w:val="24"/>
                <w:lang w:eastAsia="en-NZ"/>
              </w:rPr>
            </w:pPr>
          </w:p>
        </w:tc>
        <w:tc>
          <w:tcPr>
            <w:tcW w:w="1134" w:type="dxa"/>
            <w:tcBorders>
              <w:top w:val="nil"/>
              <w:left w:val="single" w:sz="4" w:space="0" w:color="auto"/>
              <w:bottom w:val="single" w:sz="4" w:space="0" w:color="auto"/>
              <w:right w:val="nil"/>
            </w:tcBorders>
            <w:shd w:val="clear" w:color="auto" w:fill="auto"/>
            <w:noWrap/>
            <w:vAlign w:val="bottom"/>
            <w:hideMark/>
          </w:tcPr>
          <w:p w14:paraId="0DF81E46" w14:textId="77777777" w:rsidR="00E049E0" w:rsidRPr="007828C3" w:rsidRDefault="00E049E0" w:rsidP="00E049E0">
            <w:pPr>
              <w:spacing w:after="0" w:line="240" w:lineRule="auto"/>
              <w:jc w:val="center"/>
              <w:rPr>
                <w:rFonts w:ascii="Calibri" w:eastAsia="Times New Roman" w:hAnsi="Calibri" w:cs="Times New Roman"/>
                <w:color w:val="000000"/>
                <w:lang w:eastAsia="en-NZ"/>
              </w:rPr>
            </w:pPr>
            <w:r w:rsidRPr="007828C3">
              <w:rPr>
                <w:rFonts w:ascii="Calibri" w:eastAsia="Times New Roman" w:hAnsi="Calibri" w:cs="Times New Roman"/>
                <w:color w:val="000000"/>
                <w:lang w:eastAsia="en-NZ"/>
              </w:rPr>
              <w:t>Jan</w:t>
            </w:r>
          </w:p>
        </w:tc>
        <w:tc>
          <w:tcPr>
            <w:tcW w:w="1276" w:type="dxa"/>
            <w:tcBorders>
              <w:top w:val="nil"/>
              <w:left w:val="nil"/>
              <w:bottom w:val="single" w:sz="4" w:space="0" w:color="auto"/>
              <w:right w:val="nil"/>
            </w:tcBorders>
            <w:shd w:val="clear" w:color="auto" w:fill="auto"/>
            <w:noWrap/>
            <w:vAlign w:val="bottom"/>
            <w:hideMark/>
          </w:tcPr>
          <w:p w14:paraId="02AE09CC" w14:textId="77777777" w:rsidR="00E049E0" w:rsidRPr="007828C3" w:rsidRDefault="00E049E0" w:rsidP="00E049E0">
            <w:pPr>
              <w:spacing w:after="0" w:line="240" w:lineRule="auto"/>
              <w:jc w:val="center"/>
              <w:rPr>
                <w:rFonts w:ascii="Calibri" w:eastAsia="Times New Roman" w:hAnsi="Calibri" w:cs="Times New Roman"/>
                <w:color w:val="000000"/>
                <w:lang w:eastAsia="en-NZ"/>
              </w:rPr>
            </w:pPr>
            <w:r w:rsidRPr="007828C3">
              <w:rPr>
                <w:rFonts w:ascii="Calibri" w:eastAsia="Times New Roman" w:hAnsi="Calibri" w:cs="Times New Roman"/>
                <w:color w:val="000000"/>
                <w:lang w:eastAsia="en-NZ"/>
              </w:rPr>
              <w:t>Feb</w:t>
            </w:r>
          </w:p>
        </w:tc>
        <w:tc>
          <w:tcPr>
            <w:tcW w:w="1199" w:type="dxa"/>
            <w:tcBorders>
              <w:top w:val="nil"/>
              <w:left w:val="nil"/>
              <w:bottom w:val="single" w:sz="4" w:space="0" w:color="auto"/>
              <w:right w:val="nil"/>
            </w:tcBorders>
            <w:shd w:val="clear" w:color="auto" w:fill="auto"/>
            <w:noWrap/>
            <w:vAlign w:val="bottom"/>
            <w:hideMark/>
          </w:tcPr>
          <w:p w14:paraId="69BA8A95" w14:textId="77777777" w:rsidR="00E049E0" w:rsidRPr="007828C3" w:rsidRDefault="00E049E0" w:rsidP="00E049E0">
            <w:pPr>
              <w:spacing w:after="0" w:line="240" w:lineRule="auto"/>
              <w:jc w:val="center"/>
              <w:rPr>
                <w:rFonts w:ascii="Calibri" w:eastAsia="Times New Roman" w:hAnsi="Calibri" w:cs="Times New Roman"/>
                <w:color w:val="000000"/>
                <w:lang w:eastAsia="en-NZ"/>
              </w:rPr>
            </w:pPr>
            <w:r w:rsidRPr="007828C3">
              <w:rPr>
                <w:rFonts w:ascii="Calibri" w:eastAsia="Times New Roman" w:hAnsi="Calibri" w:cs="Times New Roman"/>
                <w:color w:val="000000"/>
                <w:lang w:eastAsia="en-NZ"/>
              </w:rPr>
              <w:t>March</w:t>
            </w:r>
          </w:p>
        </w:tc>
        <w:tc>
          <w:tcPr>
            <w:tcW w:w="1365" w:type="dxa"/>
            <w:tcBorders>
              <w:top w:val="nil"/>
              <w:left w:val="nil"/>
              <w:bottom w:val="single" w:sz="4" w:space="0" w:color="auto"/>
              <w:right w:val="single" w:sz="12" w:space="0" w:color="auto"/>
            </w:tcBorders>
            <w:shd w:val="clear" w:color="auto" w:fill="auto"/>
            <w:noWrap/>
            <w:vAlign w:val="bottom"/>
            <w:hideMark/>
          </w:tcPr>
          <w:p w14:paraId="34636E2B" w14:textId="77777777" w:rsidR="00E049E0" w:rsidRPr="007828C3" w:rsidRDefault="00E049E0" w:rsidP="00E049E0">
            <w:pPr>
              <w:spacing w:after="0" w:line="240" w:lineRule="auto"/>
              <w:jc w:val="center"/>
              <w:rPr>
                <w:rFonts w:ascii="Calibri" w:eastAsia="Times New Roman" w:hAnsi="Calibri" w:cs="Times New Roman"/>
                <w:color w:val="000000"/>
                <w:lang w:eastAsia="en-NZ"/>
              </w:rPr>
            </w:pPr>
            <w:r w:rsidRPr="007828C3">
              <w:rPr>
                <w:rFonts w:ascii="Calibri" w:eastAsia="Times New Roman" w:hAnsi="Calibri" w:cs="Times New Roman"/>
                <w:color w:val="000000"/>
                <w:lang w:eastAsia="en-NZ"/>
              </w:rPr>
              <w:t>April</w:t>
            </w:r>
          </w:p>
        </w:tc>
        <w:tc>
          <w:tcPr>
            <w:tcW w:w="1365" w:type="dxa"/>
            <w:tcBorders>
              <w:top w:val="nil"/>
              <w:left w:val="single" w:sz="12" w:space="0" w:color="auto"/>
              <w:bottom w:val="single" w:sz="4" w:space="0" w:color="auto"/>
              <w:right w:val="nil"/>
            </w:tcBorders>
            <w:shd w:val="clear" w:color="auto" w:fill="auto"/>
            <w:noWrap/>
            <w:vAlign w:val="bottom"/>
            <w:hideMark/>
          </w:tcPr>
          <w:p w14:paraId="658631A6" w14:textId="77777777" w:rsidR="00E049E0" w:rsidRPr="007828C3" w:rsidRDefault="00E049E0" w:rsidP="00E049E0">
            <w:pPr>
              <w:spacing w:after="0" w:line="240" w:lineRule="auto"/>
              <w:jc w:val="center"/>
              <w:rPr>
                <w:rFonts w:ascii="Calibri" w:eastAsia="Times New Roman" w:hAnsi="Calibri" w:cs="Times New Roman"/>
                <w:color w:val="000000"/>
                <w:lang w:eastAsia="en-NZ"/>
              </w:rPr>
            </w:pPr>
            <w:r w:rsidRPr="007828C3">
              <w:rPr>
                <w:rFonts w:ascii="Calibri" w:eastAsia="Times New Roman" w:hAnsi="Calibri" w:cs="Times New Roman"/>
                <w:color w:val="000000"/>
                <w:lang w:eastAsia="en-NZ"/>
              </w:rPr>
              <w:t>YTD</w:t>
            </w:r>
          </w:p>
        </w:tc>
      </w:tr>
      <w:tr w:rsidR="00E049E0" w:rsidRPr="007828C3" w14:paraId="10173FDE" w14:textId="77777777" w:rsidTr="00A26AAA">
        <w:trPr>
          <w:trHeight w:val="244"/>
          <w:jc w:val="center"/>
        </w:trPr>
        <w:tc>
          <w:tcPr>
            <w:tcW w:w="2268" w:type="dxa"/>
            <w:tcBorders>
              <w:top w:val="single" w:sz="4" w:space="0" w:color="auto"/>
              <w:left w:val="nil"/>
              <w:bottom w:val="nil"/>
              <w:right w:val="single" w:sz="4" w:space="0" w:color="auto"/>
            </w:tcBorders>
            <w:shd w:val="clear" w:color="auto" w:fill="auto"/>
            <w:noWrap/>
            <w:vAlign w:val="bottom"/>
            <w:hideMark/>
          </w:tcPr>
          <w:p w14:paraId="6B92C997" w14:textId="77777777" w:rsidR="00E049E0" w:rsidRPr="007828C3" w:rsidRDefault="00E049E0" w:rsidP="00E049E0">
            <w:pPr>
              <w:spacing w:after="0" w:line="240" w:lineRule="auto"/>
              <w:jc w:val="right"/>
              <w:rPr>
                <w:rFonts w:ascii="Calibri" w:eastAsia="Times New Roman" w:hAnsi="Calibri" w:cs="Times New Roman"/>
                <w:color w:val="000000"/>
                <w:lang w:eastAsia="en-NZ"/>
              </w:rPr>
            </w:pPr>
            <w:r w:rsidRPr="007828C3">
              <w:rPr>
                <w:rFonts w:ascii="Calibri" w:eastAsia="Times New Roman" w:hAnsi="Calibri" w:cs="Times New Roman"/>
                <w:color w:val="000000"/>
                <w:lang w:eastAsia="en-NZ"/>
              </w:rPr>
              <w:t>Māori</w:t>
            </w:r>
          </w:p>
        </w:tc>
        <w:tc>
          <w:tcPr>
            <w:tcW w:w="1134" w:type="dxa"/>
            <w:tcBorders>
              <w:top w:val="nil"/>
              <w:left w:val="single" w:sz="4" w:space="0" w:color="auto"/>
              <w:bottom w:val="nil"/>
              <w:right w:val="nil"/>
            </w:tcBorders>
            <w:shd w:val="clear" w:color="auto" w:fill="auto"/>
            <w:noWrap/>
            <w:vAlign w:val="bottom"/>
          </w:tcPr>
          <w:p w14:paraId="794C981E" w14:textId="212CD917" w:rsidR="00E049E0" w:rsidRPr="007828C3" w:rsidRDefault="00E049E0" w:rsidP="00E049E0">
            <w:pPr>
              <w:spacing w:after="0" w:line="240" w:lineRule="auto"/>
              <w:jc w:val="center"/>
              <w:rPr>
                <w:rFonts w:ascii="Calibri" w:eastAsia="Times New Roman" w:hAnsi="Calibri" w:cs="Times New Roman"/>
                <w:color w:val="000000"/>
                <w:lang w:eastAsia="en-NZ"/>
              </w:rPr>
            </w:pPr>
            <w:r>
              <w:rPr>
                <w:rFonts w:ascii="Calibri" w:hAnsi="Calibri"/>
                <w:color w:val="000000"/>
              </w:rPr>
              <w:t>45%</w:t>
            </w:r>
          </w:p>
        </w:tc>
        <w:tc>
          <w:tcPr>
            <w:tcW w:w="1276" w:type="dxa"/>
            <w:tcBorders>
              <w:top w:val="nil"/>
              <w:left w:val="nil"/>
              <w:bottom w:val="nil"/>
              <w:right w:val="nil"/>
            </w:tcBorders>
            <w:shd w:val="clear" w:color="auto" w:fill="auto"/>
            <w:noWrap/>
            <w:vAlign w:val="bottom"/>
          </w:tcPr>
          <w:p w14:paraId="0A74B741" w14:textId="50910120" w:rsidR="00E049E0" w:rsidRPr="007828C3" w:rsidRDefault="00E049E0" w:rsidP="00E049E0">
            <w:pPr>
              <w:spacing w:after="0" w:line="240" w:lineRule="auto"/>
              <w:jc w:val="center"/>
              <w:rPr>
                <w:rFonts w:ascii="Calibri" w:eastAsia="Times New Roman" w:hAnsi="Calibri" w:cs="Times New Roman"/>
                <w:color w:val="000000"/>
                <w:lang w:eastAsia="en-NZ"/>
              </w:rPr>
            </w:pPr>
            <w:r>
              <w:rPr>
                <w:rFonts w:ascii="Calibri" w:hAnsi="Calibri"/>
                <w:color w:val="000000"/>
              </w:rPr>
              <w:t>11%</w:t>
            </w:r>
          </w:p>
        </w:tc>
        <w:tc>
          <w:tcPr>
            <w:tcW w:w="1199" w:type="dxa"/>
            <w:tcBorders>
              <w:top w:val="nil"/>
              <w:left w:val="nil"/>
              <w:bottom w:val="nil"/>
              <w:right w:val="nil"/>
            </w:tcBorders>
            <w:shd w:val="clear" w:color="auto" w:fill="auto"/>
            <w:noWrap/>
            <w:vAlign w:val="bottom"/>
          </w:tcPr>
          <w:p w14:paraId="3AA6F1EF" w14:textId="65E5042F" w:rsidR="00E049E0" w:rsidRPr="007828C3" w:rsidRDefault="00E049E0" w:rsidP="00E049E0">
            <w:pPr>
              <w:spacing w:after="0" w:line="240" w:lineRule="auto"/>
              <w:jc w:val="center"/>
              <w:rPr>
                <w:rFonts w:ascii="Calibri" w:eastAsia="Times New Roman" w:hAnsi="Calibri" w:cs="Times New Roman"/>
                <w:color w:val="000000"/>
                <w:lang w:eastAsia="en-NZ"/>
              </w:rPr>
            </w:pPr>
            <w:r>
              <w:rPr>
                <w:rFonts w:ascii="Calibri" w:hAnsi="Calibri"/>
                <w:color w:val="000000"/>
              </w:rPr>
              <w:t>-4%</w:t>
            </w:r>
          </w:p>
        </w:tc>
        <w:tc>
          <w:tcPr>
            <w:tcW w:w="1365" w:type="dxa"/>
            <w:tcBorders>
              <w:top w:val="nil"/>
              <w:left w:val="nil"/>
              <w:bottom w:val="nil"/>
              <w:right w:val="nil"/>
            </w:tcBorders>
            <w:shd w:val="clear" w:color="auto" w:fill="auto"/>
            <w:noWrap/>
            <w:vAlign w:val="bottom"/>
          </w:tcPr>
          <w:p w14:paraId="319C35F1" w14:textId="1DDE7DEE" w:rsidR="00E049E0" w:rsidRPr="007828C3" w:rsidRDefault="00E049E0" w:rsidP="00E049E0">
            <w:pPr>
              <w:spacing w:after="0" w:line="240" w:lineRule="auto"/>
              <w:jc w:val="center"/>
              <w:rPr>
                <w:rFonts w:ascii="Calibri" w:eastAsia="Times New Roman" w:hAnsi="Calibri" w:cs="Times New Roman"/>
                <w:color w:val="000000"/>
                <w:lang w:eastAsia="en-NZ"/>
              </w:rPr>
            </w:pPr>
            <w:r>
              <w:rPr>
                <w:rFonts w:ascii="Calibri" w:hAnsi="Calibri"/>
                <w:color w:val="000000"/>
              </w:rPr>
              <w:t>0%</w:t>
            </w:r>
          </w:p>
        </w:tc>
        <w:tc>
          <w:tcPr>
            <w:tcW w:w="1365" w:type="dxa"/>
            <w:tcBorders>
              <w:top w:val="single" w:sz="4" w:space="0" w:color="auto"/>
              <w:left w:val="single" w:sz="12" w:space="0" w:color="auto"/>
              <w:bottom w:val="nil"/>
              <w:right w:val="nil"/>
            </w:tcBorders>
            <w:shd w:val="clear" w:color="auto" w:fill="auto"/>
            <w:noWrap/>
            <w:vAlign w:val="bottom"/>
          </w:tcPr>
          <w:p w14:paraId="50CE2967" w14:textId="215061BF" w:rsidR="00E049E0" w:rsidRPr="007828C3" w:rsidRDefault="00E049E0" w:rsidP="00E049E0">
            <w:pPr>
              <w:spacing w:after="0" w:line="240" w:lineRule="auto"/>
              <w:jc w:val="center"/>
              <w:rPr>
                <w:rFonts w:ascii="Calibri" w:eastAsia="Times New Roman" w:hAnsi="Calibri" w:cs="Times New Roman"/>
                <w:color w:val="000000"/>
                <w:lang w:eastAsia="en-NZ"/>
              </w:rPr>
            </w:pPr>
            <w:r>
              <w:rPr>
                <w:rFonts w:ascii="Calibri" w:eastAsia="Times New Roman" w:hAnsi="Calibri" w:cs="Times New Roman"/>
                <w:color w:val="000000"/>
                <w:lang w:eastAsia="en-NZ"/>
              </w:rPr>
              <w:t>+9%</w:t>
            </w:r>
          </w:p>
        </w:tc>
      </w:tr>
      <w:tr w:rsidR="00E049E0" w:rsidRPr="007828C3" w14:paraId="70F38C1E" w14:textId="77777777" w:rsidTr="00B715E7">
        <w:trPr>
          <w:trHeight w:val="70"/>
          <w:jc w:val="center"/>
        </w:trPr>
        <w:tc>
          <w:tcPr>
            <w:tcW w:w="2268" w:type="dxa"/>
            <w:tcBorders>
              <w:top w:val="nil"/>
              <w:left w:val="nil"/>
              <w:bottom w:val="single" w:sz="18" w:space="0" w:color="auto"/>
              <w:right w:val="single" w:sz="4" w:space="0" w:color="auto"/>
            </w:tcBorders>
            <w:shd w:val="clear" w:color="auto" w:fill="auto"/>
            <w:noWrap/>
            <w:vAlign w:val="bottom"/>
            <w:hideMark/>
          </w:tcPr>
          <w:p w14:paraId="66F9ED41" w14:textId="77777777" w:rsidR="00E049E0" w:rsidRPr="007828C3" w:rsidRDefault="00E049E0" w:rsidP="00E049E0">
            <w:pPr>
              <w:spacing w:after="0" w:line="240" w:lineRule="auto"/>
              <w:jc w:val="right"/>
              <w:rPr>
                <w:rFonts w:ascii="Calibri" w:eastAsia="Times New Roman" w:hAnsi="Calibri" w:cs="Times New Roman"/>
                <w:color w:val="000000"/>
                <w:lang w:eastAsia="en-NZ"/>
              </w:rPr>
            </w:pPr>
            <w:r>
              <w:rPr>
                <w:rFonts w:ascii="Calibri" w:eastAsia="Times New Roman" w:hAnsi="Calibri" w:cs="Times New Roman"/>
                <w:color w:val="000000"/>
                <w:lang w:eastAsia="en-NZ"/>
              </w:rPr>
              <w:t>Non-Māori/non-Pacific</w:t>
            </w:r>
          </w:p>
        </w:tc>
        <w:tc>
          <w:tcPr>
            <w:tcW w:w="1134" w:type="dxa"/>
            <w:tcBorders>
              <w:top w:val="nil"/>
              <w:left w:val="single" w:sz="4" w:space="0" w:color="auto"/>
              <w:bottom w:val="single" w:sz="18" w:space="0" w:color="auto"/>
              <w:right w:val="nil"/>
            </w:tcBorders>
            <w:shd w:val="clear" w:color="auto" w:fill="auto"/>
            <w:noWrap/>
            <w:vAlign w:val="bottom"/>
          </w:tcPr>
          <w:p w14:paraId="1D0FCD01" w14:textId="5039EF3E" w:rsidR="00E049E0" w:rsidRPr="007828C3" w:rsidRDefault="00E049E0" w:rsidP="00E049E0">
            <w:pPr>
              <w:spacing w:after="0" w:line="240" w:lineRule="auto"/>
              <w:jc w:val="center"/>
              <w:rPr>
                <w:rFonts w:ascii="Calibri" w:eastAsia="Times New Roman" w:hAnsi="Calibri" w:cs="Times New Roman"/>
                <w:color w:val="000000"/>
                <w:lang w:eastAsia="en-NZ"/>
              </w:rPr>
            </w:pPr>
            <w:r>
              <w:rPr>
                <w:rFonts w:ascii="Calibri" w:hAnsi="Calibri"/>
                <w:color w:val="000000"/>
              </w:rPr>
              <w:t>0%</w:t>
            </w:r>
          </w:p>
        </w:tc>
        <w:tc>
          <w:tcPr>
            <w:tcW w:w="1276" w:type="dxa"/>
            <w:tcBorders>
              <w:top w:val="nil"/>
              <w:left w:val="nil"/>
              <w:bottom w:val="single" w:sz="18" w:space="0" w:color="auto"/>
              <w:right w:val="nil"/>
            </w:tcBorders>
            <w:shd w:val="clear" w:color="auto" w:fill="auto"/>
            <w:noWrap/>
            <w:vAlign w:val="bottom"/>
          </w:tcPr>
          <w:p w14:paraId="0238528B" w14:textId="599C0B5E" w:rsidR="00E049E0" w:rsidRPr="007828C3" w:rsidRDefault="00E049E0" w:rsidP="00E049E0">
            <w:pPr>
              <w:spacing w:after="0" w:line="240" w:lineRule="auto"/>
              <w:jc w:val="center"/>
              <w:rPr>
                <w:rFonts w:ascii="Calibri" w:eastAsia="Times New Roman" w:hAnsi="Calibri" w:cs="Times New Roman"/>
                <w:color w:val="000000"/>
                <w:lang w:eastAsia="en-NZ"/>
              </w:rPr>
            </w:pPr>
            <w:r>
              <w:rPr>
                <w:rFonts w:ascii="Calibri" w:hAnsi="Calibri"/>
                <w:color w:val="000000"/>
              </w:rPr>
              <w:t>-4%</w:t>
            </w:r>
          </w:p>
        </w:tc>
        <w:tc>
          <w:tcPr>
            <w:tcW w:w="1199" w:type="dxa"/>
            <w:tcBorders>
              <w:top w:val="nil"/>
              <w:left w:val="nil"/>
              <w:bottom w:val="single" w:sz="18" w:space="0" w:color="auto"/>
              <w:right w:val="nil"/>
            </w:tcBorders>
            <w:shd w:val="clear" w:color="auto" w:fill="auto"/>
            <w:noWrap/>
            <w:vAlign w:val="bottom"/>
          </w:tcPr>
          <w:p w14:paraId="45C3544B" w14:textId="526CF9ED" w:rsidR="00E049E0" w:rsidRPr="007828C3" w:rsidRDefault="00E049E0" w:rsidP="00E049E0">
            <w:pPr>
              <w:spacing w:after="0" w:line="240" w:lineRule="auto"/>
              <w:jc w:val="center"/>
              <w:rPr>
                <w:rFonts w:ascii="Calibri" w:eastAsia="Times New Roman" w:hAnsi="Calibri" w:cs="Times New Roman"/>
                <w:color w:val="000000"/>
                <w:lang w:eastAsia="en-NZ"/>
              </w:rPr>
            </w:pPr>
            <w:r>
              <w:rPr>
                <w:rFonts w:ascii="Calibri" w:hAnsi="Calibri"/>
                <w:color w:val="000000"/>
              </w:rPr>
              <w:t>-4%</w:t>
            </w:r>
          </w:p>
        </w:tc>
        <w:tc>
          <w:tcPr>
            <w:tcW w:w="1365" w:type="dxa"/>
            <w:tcBorders>
              <w:top w:val="nil"/>
              <w:left w:val="nil"/>
              <w:bottom w:val="single" w:sz="18" w:space="0" w:color="auto"/>
              <w:right w:val="nil"/>
            </w:tcBorders>
            <w:shd w:val="clear" w:color="auto" w:fill="auto"/>
            <w:noWrap/>
            <w:vAlign w:val="bottom"/>
          </w:tcPr>
          <w:p w14:paraId="7185AB1F" w14:textId="39BCDEB3" w:rsidR="00E049E0" w:rsidRPr="007828C3" w:rsidRDefault="00E049E0" w:rsidP="00E049E0">
            <w:pPr>
              <w:spacing w:after="0" w:line="240" w:lineRule="auto"/>
              <w:jc w:val="center"/>
              <w:rPr>
                <w:rFonts w:ascii="Calibri" w:eastAsia="Times New Roman" w:hAnsi="Calibri" w:cs="Times New Roman"/>
                <w:color w:val="000000"/>
                <w:lang w:eastAsia="en-NZ"/>
              </w:rPr>
            </w:pPr>
            <w:r>
              <w:rPr>
                <w:rFonts w:ascii="Calibri" w:hAnsi="Calibri"/>
                <w:color w:val="000000"/>
              </w:rPr>
              <w:t>-17%</w:t>
            </w:r>
          </w:p>
        </w:tc>
        <w:tc>
          <w:tcPr>
            <w:tcW w:w="1365" w:type="dxa"/>
            <w:tcBorders>
              <w:top w:val="nil"/>
              <w:left w:val="single" w:sz="12" w:space="0" w:color="auto"/>
              <w:bottom w:val="single" w:sz="18" w:space="0" w:color="auto"/>
              <w:right w:val="nil"/>
            </w:tcBorders>
            <w:shd w:val="clear" w:color="auto" w:fill="auto"/>
            <w:noWrap/>
            <w:vAlign w:val="bottom"/>
          </w:tcPr>
          <w:p w14:paraId="3002A7FE" w14:textId="133FF378" w:rsidR="00E049E0" w:rsidRPr="007828C3" w:rsidRDefault="00E049E0" w:rsidP="00E049E0">
            <w:pPr>
              <w:spacing w:after="0" w:line="240" w:lineRule="auto"/>
              <w:jc w:val="center"/>
              <w:rPr>
                <w:rFonts w:ascii="Calibri" w:eastAsia="Times New Roman" w:hAnsi="Calibri" w:cs="Times New Roman"/>
                <w:color w:val="000000"/>
                <w:lang w:eastAsia="en-NZ"/>
              </w:rPr>
            </w:pPr>
            <w:r>
              <w:rPr>
                <w:rFonts w:ascii="Calibri" w:eastAsia="Times New Roman" w:hAnsi="Calibri" w:cs="Times New Roman"/>
                <w:color w:val="000000"/>
                <w:lang w:eastAsia="en-NZ"/>
              </w:rPr>
              <w:t>-8%</w:t>
            </w:r>
          </w:p>
        </w:tc>
      </w:tr>
      <w:tr w:rsidR="00E049E0" w:rsidRPr="007828C3" w14:paraId="647B733B" w14:textId="77777777" w:rsidTr="00B715E7">
        <w:trPr>
          <w:trHeight w:val="244"/>
          <w:jc w:val="center"/>
        </w:trPr>
        <w:tc>
          <w:tcPr>
            <w:tcW w:w="2268" w:type="dxa"/>
            <w:tcBorders>
              <w:top w:val="single" w:sz="18" w:space="0" w:color="auto"/>
              <w:left w:val="nil"/>
              <w:bottom w:val="single" w:sz="4" w:space="0" w:color="auto"/>
              <w:right w:val="single" w:sz="4" w:space="0" w:color="auto"/>
            </w:tcBorders>
            <w:shd w:val="clear" w:color="auto" w:fill="auto"/>
            <w:noWrap/>
            <w:vAlign w:val="bottom"/>
          </w:tcPr>
          <w:p w14:paraId="4A535ABA" w14:textId="77777777" w:rsidR="00E049E0" w:rsidRPr="007828C3" w:rsidRDefault="00E049E0" w:rsidP="00E049E0">
            <w:pPr>
              <w:spacing w:after="0" w:line="240" w:lineRule="auto"/>
              <w:jc w:val="right"/>
              <w:rPr>
                <w:rFonts w:ascii="Calibri" w:eastAsia="Times New Roman" w:hAnsi="Calibri" w:cs="Times New Roman"/>
                <w:color w:val="000000"/>
                <w:lang w:eastAsia="en-NZ"/>
              </w:rPr>
            </w:pPr>
            <w:r>
              <w:rPr>
                <w:rFonts w:ascii="Calibri" w:eastAsia="Times New Roman" w:hAnsi="Calibri" w:cs="Times New Roman"/>
                <w:color w:val="000000"/>
                <w:lang w:eastAsia="en-NZ"/>
              </w:rPr>
              <w:t>Total</w:t>
            </w:r>
          </w:p>
        </w:tc>
        <w:tc>
          <w:tcPr>
            <w:tcW w:w="1134" w:type="dxa"/>
            <w:tcBorders>
              <w:top w:val="single" w:sz="18" w:space="0" w:color="auto"/>
              <w:left w:val="single" w:sz="4" w:space="0" w:color="auto"/>
              <w:bottom w:val="single" w:sz="4" w:space="0" w:color="auto"/>
              <w:right w:val="nil"/>
            </w:tcBorders>
            <w:shd w:val="clear" w:color="auto" w:fill="auto"/>
            <w:noWrap/>
            <w:vAlign w:val="bottom"/>
          </w:tcPr>
          <w:p w14:paraId="7ACC66E9" w14:textId="046ED461" w:rsidR="00E049E0" w:rsidRPr="007828C3" w:rsidRDefault="00E049E0" w:rsidP="00E049E0">
            <w:pPr>
              <w:spacing w:after="0" w:line="240" w:lineRule="auto"/>
              <w:jc w:val="center"/>
              <w:rPr>
                <w:rFonts w:ascii="Calibri" w:eastAsia="Times New Roman" w:hAnsi="Calibri" w:cs="Times New Roman"/>
                <w:color w:val="000000"/>
                <w:lang w:eastAsia="en-NZ"/>
              </w:rPr>
            </w:pPr>
            <w:r>
              <w:rPr>
                <w:rFonts w:ascii="Calibri" w:hAnsi="Calibri"/>
                <w:color w:val="000000"/>
              </w:rPr>
              <w:t>3%</w:t>
            </w:r>
          </w:p>
        </w:tc>
        <w:tc>
          <w:tcPr>
            <w:tcW w:w="1276" w:type="dxa"/>
            <w:tcBorders>
              <w:top w:val="single" w:sz="18" w:space="0" w:color="auto"/>
              <w:left w:val="nil"/>
              <w:bottom w:val="single" w:sz="4" w:space="0" w:color="auto"/>
              <w:right w:val="nil"/>
            </w:tcBorders>
            <w:shd w:val="clear" w:color="auto" w:fill="auto"/>
            <w:noWrap/>
            <w:vAlign w:val="bottom"/>
          </w:tcPr>
          <w:p w14:paraId="0E94F494" w14:textId="2AD62E0F" w:rsidR="00E049E0" w:rsidRPr="007828C3" w:rsidRDefault="00E049E0" w:rsidP="00E049E0">
            <w:pPr>
              <w:spacing w:after="0" w:line="240" w:lineRule="auto"/>
              <w:jc w:val="center"/>
              <w:rPr>
                <w:rFonts w:ascii="Calibri" w:eastAsia="Times New Roman" w:hAnsi="Calibri" w:cs="Times New Roman"/>
                <w:color w:val="000000"/>
                <w:lang w:eastAsia="en-NZ"/>
              </w:rPr>
            </w:pPr>
            <w:r>
              <w:rPr>
                <w:rFonts w:ascii="Calibri" w:hAnsi="Calibri"/>
                <w:color w:val="000000"/>
              </w:rPr>
              <w:t>-3%</w:t>
            </w:r>
          </w:p>
        </w:tc>
        <w:tc>
          <w:tcPr>
            <w:tcW w:w="1199" w:type="dxa"/>
            <w:tcBorders>
              <w:top w:val="single" w:sz="18" w:space="0" w:color="auto"/>
              <w:left w:val="nil"/>
              <w:bottom w:val="single" w:sz="4" w:space="0" w:color="auto"/>
              <w:right w:val="nil"/>
            </w:tcBorders>
            <w:shd w:val="clear" w:color="auto" w:fill="auto"/>
            <w:noWrap/>
            <w:vAlign w:val="bottom"/>
          </w:tcPr>
          <w:p w14:paraId="03779608" w14:textId="75B1BE5A" w:rsidR="00E049E0" w:rsidRPr="007828C3" w:rsidRDefault="00E049E0" w:rsidP="00E049E0">
            <w:pPr>
              <w:spacing w:after="0" w:line="240" w:lineRule="auto"/>
              <w:jc w:val="center"/>
              <w:rPr>
                <w:rFonts w:ascii="Calibri" w:eastAsia="Times New Roman" w:hAnsi="Calibri" w:cs="Times New Roman"/>
                <w:color w:val="000000"/>
                <w:lang w:eastAsia="en-NZ"/>
              </w:rPr>
            </w:pPr>
            <w:r>
              <w:rPr>
                <w:rFonts w:ascii="Calibri" w:hAnsi="Calibri"/>
                <w:color w:val="000000"/>
              </w:rPr>
              <w:t>-4%</w:t>
            </w:r>
          </w:p>
        </w:tc>
        <w:tc>
          <w:tcPr>
            <w:tcW w:w="1365" w:type="dxa"/>
            <w:tcBorders>
              <w:top w:val="single" w:sz="18" w:space="0" w:color="auto"/>
              <w:left w:val="nil"/>
              <w:bottom w:val="single" w:sz="4" w:space="0" w:color="auto"/>
              <w:right w:val="nil"/>
            </w:tcBorders>
            <w:shd w:val="clear" w:color="auto" w:fill="auto"/>
            <w:noWrap/>
            <w:vAlign w:val="bottom"/>
          </w:tcPr>
          <w:p w14:paraId="1DC3503B" w14:textId="3EE078C8" w:rsidR="00E049E0" w:rsidRPr="007828C3" w:rsidRDefault="00E049E0" w:rsidP="00E049E0">
            <w:pPr>
              <w:spacing w:after="0" w:line="240" w:lineRule="auto"/>
              <w:jc w:val="center"/>
              <w:rPr>
                <w:rFonts w:ascii="Calibri" w:eastAsia="Times New Roman" w:hAnsi="Calibri" w:cs="Times New Roman"/>
                <w:color w:val="000000"/>
                <w:lang w:eastAsia="en-NZ"/>
              </w:rPr>
            </w:pPr>
            <w:r>
              <w:rPr>
                <w:rFonts w:ascii="Calibri" w:hAnsi="Calibri"/>
                <w:color w:val="000000"/>
              </w:rPr>
              <w:t>-14%</w:t>
            </w:r>
          </w:p>
        </w:tc>
        <w:tc>
          <w:tcPr>
            <w:tcW w:w="1365" w:type="dxa"/>
            <w:tcBorders>
              <w:top w:val="single" w:sz="18" w:space="0" w:color="auto"/>
              <w:left w:val="single" w:sz="12" w:space="0" w:color="auto"/>
              <w:bottom w:val="single" w:sz="4" w:space="0" w:color="auto"/>
              <w:right w:val="nil"/>
            </w:tcBorders>
            <w:shd w:val="clear" w:color="auto" w:fill="auto"/>
            <w:noWrap/>
            <w:vAlign w:val="bottom"/>
          </w:tcPr>
          <w:p w14:paraId="68E9980F" w14:textId="0AF845B7" w:rsidR="00E049E0" w:rsidRPr="007828C3" w:rsidRDefault="00E049E0" w:rsidP="00E049E0">
            <w:pPr>
              <w:keepNext/>
              <w:spacing w:after="0" w:line="240" w:lineRule="auto"/>
              <w:jc w:val="center"/>
              <w:rPr>
                <w:rFonts w:ascii="Calibri" w:eastAsia="Times New Roman" w:hAnsi="Calibri" w:cs="Times New Roman"/>
                <w:color w:val="000000"/>
                <w:lang w:eastAsia="en-NZ"/>
              </w:rPr>
            </w:pPr>
            <w:r>
              <w:rPr>
                <w:rFonts w:ascii="Calibri" w:eastAsia="Times New Roman" w:hAnsi="Calibri" w:cs="Times New Roman"/>
                <w:color w:val="000000"/>
                <w:lang w:eastAsia="en-NZ"/>
              </w:rPr>
              <w:t>-7%</w:t>
            </w:r>
          </w:p>
        </w:tc>
      </w:tr>
    </w:tbl>
    <w:p w14:paraId="6A9D2BB1" w14:textId="330E735A" w:rsidR="00B715E7" w:rsidRDefault="00B715E7" w:rsidP="00900343">
      <w:pPr>
        <w:pStyle w:val="Caption"/>
        <w:keepNext/>
        <w:spacing w:before="120"/>
      </w:pPr>
      <w:r>
        <w:t xml:space="preserve">Figure </w:t>
      </w:r>
      <w:fldSimple w:instr=" SEQ Figure \* ARABIC ">
        <w:r w:rsidR="00CC108E">
          <w:rPr>
            <w:noProof/>
          </w:rPr>
          <w:t>27</w:t>
        </w:r>
      </w:fldSimple>
      <w:r>
        <w:t xml:space="preserve">: </w:t>
      </w:r>
      <w:r w:rsidRPr="00862F88">
        <w:t xml:space="preserve">Number </w:t>
      </w:r>
      <w:r w:rsidR="00900343">
        <w:t xml:space="preserve">of </w:t>
      </w:r>
      <w:r>
        <w:t xml:space="preserve">haematology first specialist assessments </w:t>
      </w:r>
      <w:r w:rsidRPr="00862F88">
        <w:t>by month and year, total population (left) and for Māori (right</w:t>
      </w:r>
      <w:r>
        <w:t>)</w:t>
      </w:r>
    </w:p>
    <w:p w14:paraId="72C4C3DF" w14:textId="77777777" w:rsidR="00B715E7" w:rsidRDefault="009D3397" w:rsidP="00BF4D3E">
      <w:pPr>
        <w:pStyle w:val="Caption"/>
      </w:pPr>
      <w:r>
        <w:rPr>
          <w:noProof/>
        </w:rPr>
        <w:drawing>
          <wp:inline distT="0" distB="0" distL="0" distR="0" wp14:anchorId="715BEA3A" wp14:editId="7ABF262A">
            <wp:extent cx="3124200" cy="2524125"/>
            <wp:effectExtent l="0" t="0" r="0" b="9525"/>
            <wp:docPr id="90" name="Chart 90">
              <a:extLst xmlns:a="http://schemas.openxmlformats.org/drawingml/2006/main">
                <a:ext uri="{FF2B5EF4-FFF2-40B4-BE49-F238E27FC236}">
                  <a16:creationId xmlns:a16="http://schemas.microsoft.com/office/drawing/2014/main" id="{BC9602A3-3FEC-4A25-8B88-B73A84F462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631B0F">
        <w:rPr>
          <w:noProof/>
        </w:rPr>
        <w:drawing>
          <wp:inline distT="0" distB="0" distL="0" distR="0" wp14:anchorId="06D60ACE" wp14:editId="29D4F1C2">
            <wp:extent cx="3048000" cy="2533650"/>
            <wp:effectExtent l="0" t="0" r="0" b="0"/>
            <wp:docPr id="91" name="Chart 91">
              <a:extLst xmlns:a="http://schemas.openxmlformats.org/drawingml/2006/main">
                <a:ext uri="{FF2B5EF4-FFF2-40B4-BE49-F238E27FC236}">
                  <a16:creationId xmlns:a16="http://schemas.microsoft.com/office/drawing/2014/main" id="{4B11FCD8-CBD4-48A5-B126-4952E8C36D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9D3397">
        <w:rPr>
          <w:noProof/>
        </w:rPr>
        <w:t xml:space="preserve"> </w:t>
      </w:r>
    </w:p>
    <w:p w14:paraId="019B2CA4" w14:textId="2B160161" w:rsidR="00B715E7" w:rsidRDefault="00B715E7" w:rsidP="00B715E7">
      <w:pPr>
        <w:pStyle w:val="Caption"/>
        <w:keepNext/>
      </w:pPr>
      <w:r>
        <w:lastRenderedPageBreak/>
        <w:t xml:space="preserve">Figure </w:t>
      </w:r>
      <w:fldSimple w:instr=" SEQ Figure \* ARABIC ">
        <w:r w:rsidR="00CC108E">
          <w:rPr>
            <w:noProof/>
          </w:rPr>
          <w:t>28</w:t>
        </w:r>
      </w:fldSimple>
      <w:r>
        <w:t>: Cumulative n</w:t>
      </w:r>
      <w:r w:rsidRPr="00BF7004">
        <w:t xml:space="preserve">umber </w:t>
      </w:r>
      <w:r>
        <w:t>of haematology first specialist assessments</w:t>
      </w:r>
      <w:r w:rsidRPr="00BF7004">
        <w:t xml:space="preserve"> by month and year, total population (left) and for Māori (right)</w:t>
      </w:r>
    </w:p>
    <w:p w14:paraId="133260F2" w14:textId="3EA24884" w:rsidR="009D3397" w:rsidRDefault="009D3397" w:rsidP="00BF4D3E">
      <w:pPr>
        <w:pStyle w:val="Caption"/>
      </w:pPr>
      <w:r>
        <w:rPr>
          <w:noProof/>
        </w:rPr>
        <w:drawing>
          <wp:inline distT="0" distB="0" distL="0" distR="0" wp14:anchorId="473E33D4" wp14:editId="6AD649FD">
            <wp:extent cx="3143250" cy="2581275"/>
            <wp:effectExtent l="0" t="0" r="0" b="9525"/>
            <wp:docPr id="89" name="Chart 89">
              <a:extLst xmlns:a="http://schemas.openxmlformats.org/drawingml/2006/main">
                <a:ext uri="{FF2B5EF4-FFF2-40B4-BE49-F238E27FC236}">
                  <a16:creationId xmlns:a16="http://schemas.microsoft.com/office/drawing/2014/main" id="{97DD760D-29D4-43DE-BF17-EED1DDBFB2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noProof/>
        </w:rPr>
        <w:drawing>
          <wp:inline distT="0" distB="0" distL="0" distR="0" wp14:anchorId="0F0B9845" wp14:editId="119A2222">
            <wp:extent cx="3048000" cy="2582545"/>
            <wp:effectExtent l="0" t="0" r="0" b="8255"/>
            <wp:docPr id="92" name="Chart 92">
              <a:extLst xmlns:a="http://schemas.openxmlformats.org/drawingml/2006/main">
                <a:ext uri="{FF2B5EF4-FFF2-40B4-BE49-F238E27FC236}">
                  <a16:creationId xmlns:a16="http://schemas.microsoft.com/office/drawing/2014/main" id="{1614716A-1889-4FB2-92B3-C2AA9F749B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C5DE20F" w14:textId="44FA0FC7" w:rsidR="003F015A" w:rsidRPr="003F015A" w:rsidRDefault="00900343" w:rsidP="003F015A">
      <w:r>
        <w:t>There was minimal change in total attendances for IV chemotherapy for haematological malignancies in April 2020 compared to April 2019 (</w:t>
      </w:r>
      <w:r w:rsidR="00A61C54">
        <w:fldChar w:fldCharType="begin"/>
      </w:r>
      <w:r w:rsidR="00A61C54">
        <w:instrText xml:space="preserve"> REF _Ref41475780 \h </w:instrText>
      </w:r>
      <w:r w:rsidR="00A61C54">
        <w:fldChar w:fldCharType="separate"/>
      </w:r>
      <w:r w:rsidR="00CC108E">
        <w:t xml:space="preserve">Table </w:t>
      </w:r>
      <w:r w:rsidR="00CC108E">
        <w:rPr>
          <w:noProof/>
        </w:rPr>
        <w:t>15</w:t>
      </w:r>
      <w:r w:rsidR="00A61C54">
        <w:fldChar w:fldCharType="end"/>
      </w:r>
      <w:r>
        <w:t xml:space="preserve">). </w:t>
      </w:r>
    </w:p>
    <w:p w14:paraId="23C5742A" w14:textId="06CEECF4" w:rsidR="00B715E7" w:rsidRDefault="00B715E7" w:rsidP="00B715E7">
      <w:pPr>
        <w:pStyle w:val="Caption"/>
        <w:keepNext/>
      </w:pPr>
      <w:bookmarkStart w:id="56" w:name="_Ref41475780"/>
      <w:r>
        <w:t xml:space="preserve">Table </w:t>
      </w:r>
      <w:fldSimple w:instr=" SEQ Table \* ARABIC ">
        <w:r w:rsidR="00CC108E">
          <w:rPr>
            <w:noProof/>
          </w:rPr>
          <w:t>15</w:t>
        </w:r>
      </w:fldSimple>
      <w:bookmarkEnd w:id="56"/>
      <w:r>
        <w:t xml:space="preserve">: </w:t>
      </w:r>
      <w:r w:rsidRPr="00903E57">
        <w:t>Percentage change in IV chemotherapy attendances for haematological malignancies in 2020 compared to 2019 by month, and cumulative year to date</w:t>
      </w:r>
    </w:p>
    <w:tbl>
      <w:tblPr>
        <w:tblW w:w="8607" w:type="dxa"/>
        <w:jc w:val="center"/>
        <w:tblLook w:val="04A0" w:firstRow="1" w:lastRow="0" w:firstColumn="1" w:lastColumn="0" w:noHBand="0" w:noVBand="1"/>
      </w:tblPr>
      <w:tblGrid>
        <w:gridCol w:w="2268"/>
        <w:gridCol w:w="1134"/>
        <w:gridCol w:w="1276"/>
        <w:gridCol w:w="1199"/>
        <w:gridCol w:w="1365"/>
        <w:gridCol w:w="1365"/>
      </w:tblGrid>
      <w:tr w:rsidR="007828C3" w:rsidRPr="007828C3" w14:paraId="148C57F1" w14:textId="77777777" w:rsidTr="00A26AAA">
        <w:trPr>
          <w:trHeight w:val="244"/>
          <w:jc w:val="center"/>
        </w:trPr>
        <w:tc>
          <w:tcPr>
            <w:tcW w:w="2268" w:type="dxa"/>
            <w:tcBorders>
              <w:top w:val="nil"/>
              <w:left w:val="nil"/>
              <w:bottom w:val="single" w:sz="4" w:space="0" w:color="auto"/>
              <w:right w:val="single" w:sz="4" w:space="0" w:color="auto"/>
            </w:tcBorders>
            <w:shd w:val="clear" w:color="auto" w:fill="auto"/>
            <w:noWrap/>
            <w:vAlign w:val="bottom"/>
            <w:hideMark/>
          </w:tcPr>
          <w:p w14:paraId="0B90E20B" w14:textId="77777777" w:rsidR="007828C3" w:rsidRPr="007828C3" w:rsidRDefault="007828C3" w:rsidP="007828C3">
            <w:pPr>
              <w:spacing w:after="0" w:line="240" w:lineRule="auto"/>
              <w:rPr>
                <w:rFonts w:ascii="Times New Roman" w:eastAsia="Times New Roman" w:hAnsi="Times New Roman" w:cs="Times New Roman"/>
                <w:sz w:val="24"/>
                <w:szCs w:val="24"/>
                <w:lang w:eastAsia="en-NZ"/>
              </w:rPr>
            </w:pPr>
          </w:p>
        </w:tc>
        <w:tc>
          <w:tcPr>
            <w:tcW w:w="1134" w:type="dxa"/>
            <w:tcBorders>
              <w:top w:val="nil"/>
              <w:left w:val="single" w:sz="4" w:space="0" w:color="auto"/>
              <w:bottom w:val="single" w:sz="4" w:space="0" w:color="auto"/>
              <w:right w:val="nil"/>
            </w:tcBorders>
            <w:shd w:val="clear" w:color="auto" w:fill="auto"/>
            <w:noWrap/>
            <w:vAlign w:val="bottom"/>
            <w:hideMark/>
          </w:tcPr>
          <w:p w14:paraId="503C75F2" w14:textId="77777777" w:rsidR="007828C3" w:rsidRPr="007828C3" w:rsidRDefault="007828C3" w:rsidP="003F015A">
            <w:pPr>
              <w:spacing w:after="0" w:line="240" w:lineRule="auto"/>
              <w:jc w:val="center"/>
              <w:rPr>
                <w:rFonts w:ascii="Calibri" w:eastAsia="Times New Roman" w:hAnsi="Calibri" w:cs="Times New Roman"/>
                <w:color w:val="000000"/>
                <w:lang w:eastAsia="en-NZ"/>
              </w:rPr>
            </w:pPr>
            <w:r w:rsidRPr="007828C3">
              <w:rPr>
                <w:rFonts w:ascii="Calibri" w:eastAsia="Times New Roman" w:hAnsi="Calibri" w:cs="Times New Roman"/>
                <w:color w:val="000000"/>
                <w:lang w:eastAsia="en-NZ"/>
              </w:rPr>
              <w:t>Jan</w:t>
            </w:r>
          </w:p>
        </w:tc>
        <w:tc>
          <w:tcPr>
            <w:tcW w:w="1276" w:type="dxa"/>
            <w:tcBorders>
              <w:top w:val="nil"/>
              <w:left w:val="nil"/>
              <w:bottom w:val="single" w:sz="4" w:space="0" w:color="auto"/>
              <w:right w:val="nil"/>
            </w:tcBorders>
            <w:shd w:val="clear" w:color="auto" w:fill="auto"/>
            <w:noWrap/>
            <w:vAlign w:val="bottom"/>
            <w:hideMark/>
          </w:tcPr>
          <w:p w14:paraId="3A85965D" w14:textId="77777777" w:rsidR="007828C3" w:rsidRPr="007828C3" w:rsidRDefault="007828C3" w:rsidP="003F015A">
            <w:pPr>
              <w:spacing w:after="0" w:line="240" w:lineRule="auto"/>
              <w:jc w:val="center"/>
              <w:rPr>
                <w:rFonts w:ascii="Calibri" w:eastAsia="Times New Roman" w:hAnsi="Calibri" w:cs="Times New Roman"/>
                <w:color w:val="000000"/>
                <w:lang w:eastAsia="en-NZ"/>
              </w:rPr>
            </w:pPr>
            <w:r w:rsidRPr="007828C3">
              <w:rPr>
                <w:rFonts w:ascii="Calibri" w:eastAsia="Times New Roman" w:hAnsi="Calibri" w:cs="Times New Roman"/>
                <w:color w:val="000000"/>
                <w:lang w:eastAsia="en-NZ"/>
              </w:rPr>
              <w:t>Feb</w:t>
            </w:r>
          </w:p>
        </w:tc>
        <w:tc>
          <w:tcPr>
            <w:tcW w:w="1199" w:type="dxa"/>
            <w:tcBorders>
              <w:top w:val="nil"/>
              <w:left w:val="nil"/>
              <w:bottom w:val="single" w:sz="4" w:space="0" w:color="auto"/>
              <w:right w:val="nil"/>
            </w:tcBorders>
            <w:shd w:val="clear" w:color="auto" w:fill="auto"/>
            <w:noWrap/>
            <w:vAlign w:val="bottom"/>
            <w:hideMark/>
          </w:tcPr>
          <w:p w14:paraId="31E63245" w14:textId="77777777" w:rsidR="007828C3" w:rsidRPr="007828C3" w:rsidRDefault="007828C3" w:rsidP="003F015A">
            <w:pPr>
              <w:spacing w:after="0" w:line="240" w:lineRule="auto"/>
              <w:jc w:val="center"/>
              <w:rPr>
                <w:rFonts w:ascii="Calibri" w:eastAsia="Times New Roman" w:hAnsi="Calibri" w:cs="Times New Roman"/>
                <w:color w:val="000000"/>
                <w:lang w:eastAsia="en-NZ"/>
              </w:rPr>
            </w:pPr>
            <w:r w:rsidRPr="007828C3">
              <w:rPr>
                <w:rFonts w:ascii="Calibri" w:eastAsia="Times New Roman" w:hAnsi="Calibri" w:cs="Times New Roman"/>
                <w:color w:val="000000"/>
                <w:lang w:eastAsia="en-NZ"/>
              </w:rPr>
              <w:t>March</w:t>
            </w:r>
          </w:p>
        </w:tc>
        <w:tc>
          <w:tcPr>
            <w:tcW w:w="1365" w:type="dxa"/>
            <w:tcBorders>
              <w:top w:val="nil"/>
              <w:left w:val="nil"/>
              <w:bottom w:val="single" w:sz="4" w:space="0" w:color="auto"/>
              <w:right w:val="single" w:sz="12" w:space="0" w:color="auto"/>
            </w:tcBorders>
            <w:shd w:val="clear" w:color="auto" w:fill="auto"/>
            <w:noWrap/>
            <w:vAlign w:val="bottom"/>
            <w:hideMark/>
          </w:tcPr>
          <w:p w14:paraId="67235BA7" w14:textId="77777777" w:rsidR="007828C3" w:rsidRPr="007828C3" w:rsidRDefault="007828C3" w:rsidP="003F015A">
            <w:pPr>
              <w:spacing w:after="0" w:line="240" w:lineRule="auto"/>
              <w:jc w:val="center"/>
              <w:rPr>
                <w:rFonts w:ascii="Calibri" w:eastAsia="Times New Roman" w:hAnsi="Calibri" w:cs="Times New Roman"/>
                <w:color w:val="000000"/>
                <w:lang w:eastAsia="en-NZ"/>
              </w:rPr>
            </w:pPr>
            <w:r w:rsidRPr="007828C3">
              <w:rPr>
                <w:rFonts w:ascii="Calibri" w:eastAsia="Times New Roman" w:hAnsi="Calibri" w:cs="Times New Roman"/>
                <w:color w:val="000000"/>
                <w:lang w:eastAsia="en-NZ"/>
              </w:rPr>
              <w:t>April</w:t>
            </w:r>
          </w:p>
        </w:tc>
        <w:tc>
          <w:tcPr>
            <w:tcW w:w="1365" w:type="dxa"/>
            <w:tcBorders>
              <w:top w:val="nil"/>
              <w:left w:val="single" w:sz="12" w:space="0" w:color="auto"/>
              <w:bottom w:val="single" w:sz="4" w:space="0" w:color="auto"/>
              <w:right w:val="nil"/>
            </w:tcBorders>
            <w:shd w:val="clear" w:color="auto" w:fill="auto"/>
            <w:noWrap/>
            <w:vAlign w:val="bottom"/>
            <w:hideMark/>
          </w:tcPr>
          <w:p w14:paraId="528006A9" w14:textId="77777777" w:rsidR="007828C3" w:rsidRPr="007828C3" w:rsidRDefault="007828C3" w:rsidP="003F015A">
            <w:pPr>
              <w:spacing w:after="0" w:line="240" w:lineRule="auto"/>
              <w:jc w:val="center"/>
              <w:rPr>
                <w:rFonts w:ascii="Calibri" w:eastAsia="Times New Roman" w:hAnsi="Calibri" w:cs="Times New Roman"/>
                <w:color w:val="000000"/>
                <w:lang w:eastAsia="en-NZ"/>
              </w:rPr>
            </w:pPr>
            <w:r w:rsidRPr="007828C3">
              <w:rPr>
                <w:rFonts w:ascii="Calibri" w:eastAsia="Times New Roman" w:hAnsi="Calibri" w:cs="Times New Roman"/>
                <w:color w:val="000000"/>
                <w:lang w:eastAsia="en-NZ"/>
              </w:rPr>
              <w:t>YTD</w:t>
            </w:r>
          </w:p>
        </w:tc>
      </w:tr>
      <w:tr w:rsidR="00D06C61" w:rsidRPr="007828C3" w14:paraId="2CE974B6" w14:textId="77777777" w:rsidTr="00A26AAA">
        <w:trPr>
          <w:trHeight w:val="244"/>
          <w:jc w:val="center"/>
        </w:trPr>
        <w:tc>
          <w:tcPr>
            <w:tcW w:w="2268" w:type="dxa"/>
            <w:tcBorders>
              <w:top w:val="single" w:sz="4" w:space="0" w:color="auto"/>
              <w:left w:val="nil"/>
              <w:bottom w:val="nil"/>
              <w:right w:val="single" w:sz="4" w:space="0" w:color="auto"/>
            </w:tcBorders>
            <w:shd w:val="clear" w:color="auto" w:fill="auto"/>
            <w:noWrap/>
            <w:vAlign w:val="bottom"/>
            <w:hideMark/>
          </w:tcPr>
          <w:p w14:paraId="67166428" w14:textId="7407937A" w:rsidR="00D06C61" w:rsidRPr="007828C3" w:rsidRDefault="00D06C61" w:rsidP="003F015A">
            <w:pPr>
              <w:spacing w:after="0" w:line="240" w:lineRule="auto"/>
              <w:jc w:val="right"/>
              <w:rPr>
                <w:rFonts w:ascii="Calibri" w:eastAsia="Times New Roman" w:hAnsi="Calibri" w:cs="Times New Roman"/>
                <w:color w:val="000000"/>
                <w:lang w:eastAsia="en-NZ"/>
              </w:rPr>
            </w:pPr>
            <w:r w:rsidRPr="007828C3">
              <w:rPr>
                <w:rFonts w:ascii="Calibri" w:eastAsia="Times New Roman" w:hAnsi="Calibri" w:cs="Times New Roman"/>
                <w:color w:val="000000"/>
                <w:lang w:eastAsia="en-NZ"/>
              </w:rPr>
              <w:t>Māori</w:t>
            </w:r>
          </w:p>
        </w:tc>
        <w:tc>
          <w:tcPr>
            <w:tcW w:w="1134" w:type="dxa"/>
            <w:tcBorders>
              <w:top w:val="single" w:sz="4" w:space="0" w:color="auto"/>
              <w:left w:val="single" w:sz="4" w:space="0" w:color="auto"/>
              <w:bottom w:val="nil"/>
              <w:right w:val="nil"/>
            </w:tcBorders>
            <w:shd w:val="clear" w:color="auto" w:fill="auto"/>
            <w:noWrap/>
            <w:vAlign w:val="bottom"/>
          </w:tcPr>
          <w:p w14:paraId="610D47CB" w14:textId="13683A06" w:rsidR="00D06C61" w:rsidRPr="007828C3" w:rsidRDefault="00D06C61" w:rsidP="003F015A">
            <w:pPr>
              <w:spacing w:after="0" w:line="240" w:lineRule="auto"/>
              <w:jc w:val="center"/>
              <w:rPr>
                <w:rFonts w:ascii="Calibri" w:eastAsia="Times New Roman" w:hAnsi="Calibri" w:cs="Times New Roman"/>
                <w:color w:val="000000"/>
                <w:lang w:eastAsia="en-NZ"/>
              </w:rPr>
            </w:pPr>
            <w:r w:rsidRPr="007828C3">
              <w:rPr>
                <w:rFonts w:ascii="Calibri" w:eastAsia="Times New Roman" w:hAnsi="Calibri" w:cs="Times New Roman"/>
                <w:color w:val="000000"/>
                <w:lang w:eastAsia="en-NZ"/>
              </w:rPr>
              <w:t>-</w:t>
            </w:r>
            <w:r>
              <w:rPr>
                <w:rFonts w:ascii="Calibri" w:eastAsia="Times New Roman" w:hAnsi="Calibri" w:cs="Times New Roman"/>
                <w:color w:val="000000"/>
                <w:lang w:eastAsia="en-NZ"/>
              </w:rPr>
              <w:t>7</w:t>
            </w:r>
            <w:r w:rsidRPr="007828C3">
              <w:rPr>
                <w:rFonts w:ascii="Calibri" w:eastAsia="Times New Roman" w:hAnsi="Calibri" w:cs="Times New Roman"/>
                <w:color w:val="000000"/>
                <w:lang w:eastAsia="en-NZ"/>
              </w:rPr>
              <w:t>%</w:t>
            </w:r>
          </w:p>
        </w:tc>
        <w:tc>
          <w:tcPr>
            <w:tcW w:w="1276" w:type="dxa"/>
            <w:tcBorders>
              <w:top w:val="single" w:sz="4" w:space="0" w:color="auto"/>
              <w:left w:val="nil"/>
              <w:bottom w:val="nil"/>
              <w:right w:val="nil"/>
            </w:tcBorders>
            <w:shd w:val="clear" w:color="auto" w:fill="auto"/>
            <w:noWrap/>
            <w:vAlign w:val="bottom"/>
          </w:tcPr>
          <w:p w14:paraId="55881AD9" w14:textId="6CBB77F0" w:rsidR="00D06C61" w:rsidRPr="007828C3" w:rsidRDefault="00D06C61" w:rsidP="003F015A">
            <w:pPr>
              <w:spacing w:after="0" w:line="240" w:lineRule="auto"/>
              <w:jc w:val="center"/>
              <w:rPr>
                <w:rFonts w:ascii="Calibri" w:eastAsia="Times New Roman" w:hAnsi="Calibri" w:cs="Times New Roman"/>
                <w:color w:val="000000"/>
                <w:lang w:eastAsia="en-NZ"/>
              </w:rPr>
            </w:pPr>
            <w:r>
              <w:rPr>
                <w:rFonts w:ascii="Calibri" w:eastAsia="Times New Roman" w:hAnsi="Calibri" w:cs="Times New Roman"/>
                <w:color w:val="000000"/>
                <w:lang w:eastAsia="en-NZ"/>
              </w:rPr>
              <w:t>4</w:t>
            </w:r>
            <w:r w:rsidRPr="007828C3">
              <w:rPr>
                <w:rFonts w:ascii="Calibri" w:eastAsia="Times New Roman" w:hAnsi="Calibri" w:cs="Times New Roman"/>
                <w:color w:val="000000"/>
                <w:lang w:eastAsia="en-NZ"/>
              </w:rPr>
              <w:t>%</w:t>
            </w:r>
          </w:p>
        </w:tc>
        <w:tc>
          <w:tcPr>
            <w:tcW w:w="1199" w:type="dxa"/>
            <w:tcBorders>
              <w:top w:val="single" w:sz="4" w:space="0" w:color="auto"/>
              <w:left w:val="nil"/>
              <w:bottom w:val="nil"/>
              <w:right w:val="nil"/>
            </w:tcBorders>
            <w:shd w:val="clear" w:color="auto" w:fill="auto"/>
            <w:noWrap/>
            <w:vAlign w:val="bottom"/>
          </w:tcPr>
          <w:p w14:paraId="617AEA72" w14:textId="75CF928B" w:rsidR="00D06C61" w:rsidRPr="007828C3" w:rsidRDefault="00D06C61" w:rsidP="003F015A">
            <w:pPr>
              <w:spacing w:after="0" w:line="240" w:lineRule="auto"/>
              <w:jc w:val="center"/>
              <w:rPr>
                <w:rFonts w:ascii="Calibri" w:eastAsia="Times New Roman" w:hAnsi="Calibri" w:cs="Times New Roman"/>
                <w:color w:val="000000"/>
                <w:lang w:eastAsia="en-NZ"/>
              </w:rPr>
            </w:pPr>
            <w:r>
              <w:rPr>
                <w:rFonts w:ascii="Calibri" w:eastAsia="Times New Roman" w:hAnsi="Calibri" w:cs="Times New Roman"/>
                <w:color w:val="000000"/>
                <w:lang w:eastAsia="en-NZ"/>
              </w:rPr>
              <w:t>12</w:t>
            </w:r>
            <w:r w:rsidRPr="007828C3">
              <w:rPr>
                <w:rFonts w:ascii="Calibri" w:eastAsia="Times New Roman" w:hAnsi="Calibri" w:cs="Times New Roman"/>
                <w:color w:val="000000"/>
                <w:lang w:eastAsia="en-NZ"/>
              </w:rPr>
              <w:t>%</w:t>
            </w:r>
          </w:p>
        </w:tc>
        <w:tc>
          <w:tcPr>
            <w:tcW w:w="1365" w:type="dxa"/>
            <w:tcBorders>
              <w:top w:val="single" w:sz="4" w:space="0" w:color="auto"/>
              <w:left w:val="nil"/>
              <w:bottom w:val="nil"/>
              <w:right w:val="single" w:sz="12" w:space="0" w:color="auto"/>
            </w:tcBorders>
            <w:shd w:val="clear" w:color="auto" w:fill="auto"/>
            <w:noWrap/>
            <w:vAlign w:val="bottom"/>
          </w:tcPr>
          <w:p w14:paraId="4380FBAB" w14:textId="27F832D9" w:rsidR="00D06C61" w:rsidRPr="007828C3" w:rsidRDefault="00D06C61" w:rsidP="003F015A">
            <w:pPr>
              <w:spacing w:after="0" w:line="240" w:lineRule="auto"/>
              <w:jc w:val="center"/>
              <w:rPr>
                <w:rFonts w:ascii="Calibri" w:eastAsia="Times New Roman" w:hAnsi="Calibri" w:cs="Times New Roman"/>
                <w:color w:val="000000"/>
                <w:lang w:eastAsia="en-NZ"/>
              </w:rPr>
            </w:pPr>
            <w:r w:rsidRPr="007828C3">
              <w:rPr>
                <w:rFonts w:ascii="Calibri" w:eastAsia="Times New Roman" w:hAnsi="Calibri" w:cs="Times New Roman"/>
                <w:color w:val="000000"/>
                <w:lang w:eastAsia="en-NZ"/>
              </w:rPr>
              <w:t>2</w:t>
            </w:r>
            <w:r>
              <w:rPr>
                <w:rFonts w:ascii="Calibri" w:eastAsia="Times New Roman" w:hAnsi="Calibri" w:cs="Times New Roman"/>
                <w:color w:val="000000"/>
                <w:lang w:eastAsia="en-NZ"/>
              </w:rPr>
              <w:t>6</w:t>
            </w:r>
            <w:r w:rsidRPr="007828C3">
              <w:rPr>
                <w:rFonts w:ascii="Calibri" w:eastAsia="Times New Roman" w:hAnsi="Calibri" w:cs="Times New Roman"/>
                <w:color w:val="000000"/>
                <w:lang w:eastAsia="en-NZ"/>
              </w:rPr>
              <w:t>%</w:t>
            </w:r>
          </w:p>
        </w:tc>
        <w:tc>
          <w:tcPr>
            <w:tcW w:w="1365" w:type="dxa"/>
            <w:tcBorders>
              <w:top w:val="single" w:sz="4" w:space="0" w:color="auto"/>
              <w:left w:val="single" w:sz="12" w:space="0" w:color="auto"/>
              <w:bottom w:val="nil"/>
              <w:right w:val="nil"/>
            </w:tcBorders>
            <w:shd w:val="clear" w:color="auto" w:fill="auto"/>
            <w:noWrap/>
            <w:vAlign w:val="bottom"/>
          </w:tcPr>
          <w:p w14:paraId="4643AA4F" w14:textId="26C09A0D" w:rsidR="00D06C61" w:rsidRPr="007828C3" w:rsidRDefault="00D06C61" w:rsidP="003F015A">
            <w:pPr>
              <w:spacing w:after="0" w:line="240" w:lineRule="auto"/>
              <w:jc w:val="center"/>
              <w:rPr>
                <w:rFonts w:ascii="Calibri" w:eastAsia="Times New Roman" w:hAnsi="Calibri" w:cs="Times New Roman"/>
                <w:color w:val="000000"/>
                <w:lang w:eastAsia="en-NZ"/>
              </w:rPr>
            </w:pPr>
            <w:r>
              <w:rPr>
                <w:rFonts w:ascii="Calibri" w:eastAsia="Times New Roman" w:hAnsi="Calibri" w:cs="Times New Roman"/>
                <w:color w:val="000000"/>
                <w:lang w:eastAsia="en-NZ"/>
              </w:rPr>
              <w:t>6</w:t>
            </w:r>
            <w:r w:rsidRPr="007828C3">
              <w:rPr>
                <w:rFonts w:ascii="Calibri" w:eastAsia="Times New Roman" w:hAnsi="Calibri" w:cs="Times New Roman"/>
                <w:color w:val="000000"/>
                <w:lang w:eastAsia="en-NZ"/>
              </w:rPr>
              <w:t>%</w:t>
            </w:r>
          </w:p>
        </w:tc>
      </w:tr>
      <w:tr w:rsidR="00D06C61" w:rsidRPr="007828C3" w14:paraId="73389F70" w14:textId="77777777" w:rsidTr="00900343">
        <w:trPr>
          <w:trHeight w:val="70"/>
          <w:jc w:val="center"/>
        </w:trPr>
        <w:tc>
          <w:tcPr>
            <w:tcW w:w="2268" w:type="dxa"/>
            <w:tcBorders>
              <w:top w:val="nil"/>
              <w:left w:val="nil"/>
              <w:bottom w:val="single" w:sz="18" w:space="0" w:color="auto"/>
              <w:right w:val="single" w:sz="4" w:space="0" w:color="auto"/>
            </w:tcBorders>
            <w:shd w:val="clear" w:color="auto" w:fill="auto"/>
            <w:noWrap/>
            <w:vAlign w:val="bottom"/>
            <w:hideMark/>
          </w:tcPr>
          <w:p w14:paraId="132F460F" w14:textId="3E11CA0E" w:rsidR="00D06C61" w:rsidRPr="007828C3" w:rsidRDefault="00D06C61" w:rsidP="003F015A">
            <w:pPr>
              <w:spacing w:after="0" w:line="240" w:lineRule="auto"/>
              <w:jc w:val="right"/>
              <w:rPr>
                <w:rFonts w:ascii="Calibri" w:eastAsia="Times New Roman" w:hAnsi="Calibri" w:cs="Times New Roman"/>
                <w:color w:val="000000"/>
                <w:lang w:eastAsia="en-NZ"/>
              </w:rPr>
            </w:pPr>
            <w:r>
              <w:rPr>
                <w:rFonts w:ascii="Calibri" w:eastAsia="Times New Roman" w:hAnsi="Calibri" w:cs="Times New Roman"/>
                <w:color w:val="000000"/>
                <w:lang w:eastAsia="en-NZ"/>
              </w:rPr>
              <w:t>Non-Māori/non-Pacific</w:t>
            </w:r>
          </w:p>
        </w:tc>
        <w:tc>
          <w:tcPr>
            <w:tcW w:w="1134" w:type="dxa"/>
            <w:tcBorders>
              <w:top w:val="nil"/>
              <w:left w:val="single" w:sz="4" w:space="0" w:color="auto"/>
              <w:bottom w:val="single" w:sz="18" w:space="0" w:color="auto"/>
              <w:right w:val="nil"/>
            </w:tcBorders>
            <w:shd w:val="clear" w:color="auto" w:fill="auto"/>
            <w:noWrap/>
            <w:vAlign w:val="bottom"/>
          </w:tcPr>
          <w:p w14:paraId="179F5C0F" w14:textId="363423AA" w:rsidR="00D06C61" w:rsidRPr="007828C3" w:rsidRDefault="00D06C61" w:rsidP="003F015A">
            <w:pPr>
              <w:spacing w:after="0" w:line="240" w:lineRule="auto"/>
              <w:jc w:val="center"/>
              <w:rPr>
                <w:rFonts w:ascii="Calibri" w:eastAsia="Times New Roman" w:hAnsi="Calibri" w:cs="Times New Roman"/>
                <w:color w:val="000000"/>
                <w:lang w:eastAsia="en-NZ"/>
              </w:rPr>
            </w:pPr>
            <w:r>
              <w:rPr>
                <w:rFonts w:ascii="Calibri" w:eastAsia="Times New Roman" w:hAnsi="Calibri" w:cs="Times New Roman"/>
                <w:color w:val="000000"/>
                <w:lang w:eastAsia="en-NZ"/>
              </w:rPr>
              <w:t>5%</w:t>
            </w:r>
          </w:p>
        </w:tc>
        <w:tc>
          <w:tcPr>
            <w:tcW w:w="1276" w:type="dxa"/>
            <w:tcBorders>
              <w:top w:val="nil"/>
              <w:left w:val="nil"/>
              <w:bottom w:val="single" w:sz="18" w:space="0" w:color="auto"/>
              <w:right w:val="nil"/>
            </w:tcBorders>
            <w:shd w:val="clear" w:color="auto" w:fill="auto"/>
            <w:noWrap/>
            <w:vAlign w:val="bottom"/>
          </w:tcPr>
          <w:p w14:paraId="579B5E2D" w14:textId="10057124" w:rsidR="00D06C61" w:rsidRPr="007828C3" w:rsidRDefault="00D06C61" w:rsidP="003F015A">
            <w:pPr>
              <w:spacing w:after="0" w:line="240" w:lineRule="auto"/>
              <w:jc w:val="center"/>
              <w:rPr>
                <w:rFonts w:ascii="Calibri" w:eastAsia="Times New Roman" w:hAnsi="Calibri" w:cs="Times New Roman"/>
                <w:color w:val="000000"/>
                <w:lang w:eastAsia="en-NZ"/>
              </w:rPr>
            </w:pPr>
            <w:r>
              <w:rPr>
                <w:rFonts w:ascii="Calibri" w:eastAsia="Times New Roman" w:hAnsi="Calibri" w:cs="Times New Roman"/>
                <w:color w:val="000000"/>
                <w:lang w:eastAsia="en-NZ"/>
              </w:rPr>
              <w:t>12%</w:t>
            </w:r>
          </w:p>
        </w:tc>
        <w:tc>
          <w:tcPr>
            <w:tcW w:w="1199" w:type="dxa"/>
            <w:tcBorders>
              <w:top w:val="nil"/>
              <w:left w:val="nil"/>
              <w:bottom w:val="single" w:sz="18" w:space="0" w:color="auto"/>
              <w:right w:val="nil"/>
            </w:tcBorders>
            <w:shd w:val="clear" w:color="auto" w:fill="auto"/>
            <w:noWrap/>
            <w:vAlign w:val="bottom"/>
          </w:tcPr>
          <w:p w14:paraId="7E78BD0F" w14:textId="28D96406" w:rsidR="00D06C61" w:rsidRPr="007828C3" w:rsidRDefault="00D06C61" w:rsidP="003F015A">
            <w:pPr>
              <w:spacing w:after="0" w:line="240" w:lineRule="auto"/>
              <w:jc w:val="center"/>
              <w:rPr>
                <w:rFonts w:ascii="Calibri" w:eastAsia="Times New Roman" w:hAnsi="Calibri" w:cs="Times New Roman"/>
                <w:color w:val="000000"/>
                <w:lang w:eastAsia="en-NZ"/>
              </w:rPr>
            </w:pPr>
            <w:r>
              <w:rPr>
                <w:rFonts w:ascii="Calibri" w:eastAsia="Times New Roman" w:hAnsi="Calibri" w:cs="Times New Roman"/>
                <w:color w:val="000000"/>
                <w:lang w:eastAsia="en-NZ"/>
              </w:rPr>
              <w:t>19%</w:t>
            </w:r>
          </w:p>
        </w:tc>
        <w:tc>
          <w:tcPr>
            <w:tcW w:w="1365" w:type="dxa"/>
            <w:tcBorders>
              <w:top w:val="nil"/>
              <w:left w:val="nil"/>
              <w:bottom w:val="single" w:sz="18" w:space="0" w:color="auto"/>
              <w:right w:val="single" w:sz="12" w:space="0" w:color="auto"/>
            </w:tcBorders>
            <w:shd w:val="clear" w:color="auto" w:fill="auto"/>
            <w:noWrap/>
            <w:vAlign w:val="bottom"/>
          </w:tcPr>
          <w:p w14:paraId="78F9EB0C" w14:textId="749B7006" w:rsidR="00D06C61" w:rsidRPr="007828C3" w:rsidRDefault="00D06C61" w:rsidP="003F015A">
            <w:pPr>
              <w:spacing w:after="0" w:line="240" w:lineRule="auto"/>
              <w:jc w:val="center"/>
              <w:rPr>
                <w:rFonts w:ascii="Calibri" w:eastAsia="Times New Roman" w:hAnsi="Calibri" w:cs="Times New Roman"/>
                <w:color w:val="000000"/>
                <w:lang w:eastAsia="en-NZ"/>
              </w:rPr>
            </w:pPr>
            <w:r>
              <w:rPr>
                <w:rFonts w:ascii="Calibri" w:eastAsia="Times New Roman" w:hAnsi="Calibri" w:cs="Times New Roman"/>
                <w:color w:val="000000"/>
                <w:lang w:eastAsia="en-NZ"/>
              </w:rPr>
              <w:t>-4%</w:t>
            </w:r>
          </w:p>
        </w:tc>
        <w:tc>
          <w:tcPr>
            <w:tcW w:w="1365" w:type="dxa"/>
            <w:tcBorders>
              <w:top w:val="nil"/>
              <w:left w:val="single" w:sz="12" w:space="0" w:color="auto"/>
              <w:bottom w:val="single" w:sz="18" w:space="0" w:color="auto"/>
              <w:right w:val="nil"/>
            </w:tcBorders>
            <w:shd w:val="clear" w:color="auto" w:fill="auto"/>
            <w:noWrap/>
            <w:vAlign w:val="bottom"/>
          </w:tcPr>
          <w:p w14:paraId="26BB1C47" w14:textId="3B14ADE8" w:rsidR="00D06C61" w:rsidRPr="007828C3" w:rsidRDefault="00D06C61" w:rsidP="003F015A">
            <w:pPr>
              <w:spacing w:after="0" w:line="240" w:lineRule="auto"/>
              <w:jc w:val="center"/>
              <w:rPr>
                <w:rFonts w:ascii="Calibri" w:eastAsia="Times New Roman" w:hAnsi="Calibri" w:cs="Times New Roman"/>
                <w:color w:val="000000"/>
                <w:lang w:eastAsia="en-NZ"/>
              </w:rPr>
            </w:pPr>
            <w:r>
              <w:rPr>
                <w:rFonts w:ascii="Calibri" w:eastAsia="Times New Roman" w:hAnsi="Calibri" w:cs="Times New Roman"/>
                <w:color w:val="000000"/>
                <w:lang w:eastAsia="en-NZ"/>
              </w:rPr>
              <w:t>7%</w:t>
            </w:r>
          </w:p>
        </w:tc>
      </w:tr>
      <w:tr w:rsidR="00D06C61" w:rsidRPr="007828C3" w14:paraId="2701DCC5" w14:textId="77777777" w:rsidTr="00900343">
        <w:trPr>
          <w:trHeight w:val="244"/>
          <w:jc w:val="center"/>
        </w:trPr>
        <w:tc>
          <w:tcPr>
            <w:tcW w:w="2268" w:type="dxa"/>
            <w:tcBorders>
              <w:top w:val="single" w:sz="18" w:space="0" w:color="auto"/>
              <w:left w:val="nil"/>
              <w:bottom w:val="single" w:sz="4" w:space="0" w:color="auto"/>
              <w:right w:val="single" w:sz="4" w:space="0" w:color="auto"/>
            </w:tcBorders>
            <w:shd w:val="clear" w:color="auto" w:fill="auto"/>
            <w:noWrap/>
            <w:vAlign w:val="bottom"/>
          </w:tcPr>
          <w:p w14:paraId="0D482EFB" w14:textId="78A3B567" w:rsidR="00D06C61" w:rsidRPr="007828C3" w:rsidRDefault="00D06C61" w:rsidP="003F015A">
            <w:pPr>
              <w:spacing w:after="0" w:line="240" w:lineRule="auto"/>
              <w:jc w:val="right"/>
              <w:rPr>
                <w:rFonts w:ascii="Calibri" w:eastAsia="Times New Roman" w:hAnsi="Calibri" w:cs="Times New Roman"/>
                <w:color w:val="000000"/>
                <w:lang w:eastAsia="en-NZ"/>
              </w:rPr>
            </w:pPr>
            <w:r>
              <w:rPr>
                <w:rFonts w:ascii="Calibri" w:eastAsia="Times New Roman" w:hAnsi="Calibri" w:cs="Times New Roman"/>
                <w:color w:val="000000"/>
                <w:lang w:eastAsia="en-NZ"/>
              </w:rPr>
              <w:t>Total</w:t>
            </w:r>
          </w:p>
        </w:tc>
        <w:tc>
          <w:tcPr>
            <w:tcW w:w="1134" w:type="dxa"/>
            <w:tcBorders>
              <w:top w:val="single" w:sz="18" w:space="0" w:color="auto"/>
              <w:left w:val="single" w:sz="4" w:space="0" w:color="auto"/>
              <w:bottom w:val="single" w:sz="4" w:space="0" w:color="auto"/>
              <w:right w:val="nil"/>
            </w:tcBorders>
            <w:shd w:val="clear" w:color="auto" w:fill="auto"/>
            <w:noWrap/>
            <w:vAlign w:val="bottom"/>
          </w:tcPr>
          <w:p w14:paraId="253EFF05" w14:textId="50370275" w:rsidR="00D06C61" w:rsidRPr="007828C3" w:rsidRDefault="00D06C61" w:rsidP="003F015A">
            <w:pPr>
              <w:spacing w:after="0" w:line="240" w:lineRule="auto"/>
              <w:jc w:val="center"/>
              <w:rPr>
                <w:rFonts w:ascii="Calibri" w:eastAsia="Times New Roman" w:hAnsi="Calibri" w:cs="Times New Roman"/>
                <w:color w:val="000000"/>
                <w:lang w:eastAsia="en-NZ"/>
              </w:rPr>
            </w:pPr>
            <w:r w:rsidRPr="007828C3">
              <w:rPr>
                <w:rFonts w:ascii="Calibri" w:eastAsia="Times New Roman" w:hAnsi="Calibri" w:cs="Times New Roman"/>
                <w:color w:val="000000"/>
                <w:lang w:eastAsia="en-NZ"/>
              </w:rPr>
              <w:t>3%</w:t>
            </w:r>
          </w:p>
        </w:tc>
        <w:tc>
          <w:tcPr>
            <w:tcW w:w="1276" w:type="dxa"/>
            <w:tcBorders>
              <w:top w:val="single" w:sz="18" w:space="0" w:color="auto"/>
              <w:left w:val="nil"/>
              <w:bottom w:val="single" w:sz="4" w:space="0" w:color="auto"/>
              <w:right w:val="nil"/>
            </w:tcBorders>
            <w:shd w:val="clear" w:color="auto" w:fill="auto"/>
            <w:noWrap/>
            <w:vAlign w:val="bottom"/>
          </w:tcPr>
          <w:p w14:paraId="7CCA2041" w14:textId="69661F90" w:rsidR="00D06C61" w:rsidRPr="007828C3" w:rsidRDefault="00D06C61" w:rsidP="003F015A">
            <w:pPr>
              <w:spacing w:after="0" w:line="240" w:lineRule="auto"/>
              <w:jc w:val="center"/>
              <w:rPr>
                <w:rFonts w:ascii="Calibri" w:eastAsia="Times New Roman" w:hAnsi="Calibri" w:cs="Times New Roman"/>
                <w:color w:val="000000"/>
                <w:lang w:eastAsia="en-NZ"/>
              </w:rPr>
            </w:pPr>
            <w:r w:rsidRPr="007828C3">
              <w:rPr>
                <w:rFonts w:ascii="Calibri" w:eastAsia="Times New Roman" w:hAnsi="Calibri" w:cs="Times New Roman"/>
                <w:color w:val="000000"/>
                <w:lang w:eastAsia="en-NZ"/>
              </w:rPr>
              <w:t>9%</w:t>
            </w:r>
          </w:p>
        </w:tc>
        <w:tc>
          <w:tcPr>
            <w:tcW w:w="1199" w:type="dxa"/>
            <w:tcBorders>
              <w:top w:val="single" w:sz="18" w:space="0" w:color="auto"/>
              <w:left w:val="nil"/>
              <w:bottom w:val="single" w:sz="4" w:space="0" w:color="auto"/>
              <w:right w:val="nil"/>
            </w:tcBorders>
            <w:shd w:val="clear" w:color="auto" w:fill="auto"/>
            <w:noWrap/>
            <w:vAlign w:val="bottom"/>
          </w:tcPr>
          <w:p w14:paraId="71445BB7" w14:textId="0DD5C815" w:rsidR="00D06C61" w:rsidRPr="007828C3" w:rsidRDefault="00D06C61" w:rsidP="003F015A">
            <w:pPr>
              <w:spacing w:after="0" w:line="240" w:lineRule="auto"/>
              <w:jc w:val="center"/>
              <w:rPr>
                <w:rFonts w:ascii="Calibri" w:eastAsia="Times New Roman" w:hAnsi="Calibri" w:cs="Times New Roman"/>
                <w:color w:val="000000"/>
                <w:lang w:eastAsia="en-NZ"/>
              </w:rPr>
            </w:pPr>
            <w:r w:rsidRPr="007828C3">
              <w:rPr>
                <w:rFonts w:ascii="Calibri" w:eastAsia="Times New Roman" w:hAnsi="Calibri" w:cs="Times New Roman"/>
                <w:color w:val="000000"/>
                <w:lang w:eastAsia="en-NZ"/>
              </w:rPr>
              <w:t>18%</w:t>
            </w:r>
          </w:p>
        </w:tc>
        <w:tc>
          <w:tcPr>
            <w:tcW w:w="1365" w:type="dxa"/>
            <w:tcBorders>
              <w:top w:val="single" w:sz="18" w:space="0" w:color="auto"/>
              <w:left w:val="nil"/>
              <w:bottom w:val="single" w:sz="4" w:space="0" w:color="auto"/>
              <w:right w:val="single" w:sz="12" w:space="0" w:color="auto"/>
            </w:tcBorders>
            <w:shd w:val="clear" w:color="auto" w:fill="auto"/>
            <w:noWrap/>
            <w:vAlign w:val="bottom"/>
          </w:tcPr>
          <w:p w14:paraId="667F704B" w14:textId="0B17AFD1" w:rsidR="00D06C61" w:rsidRPr="007828C3" w:rsidRDefault="00D06C61" w:rsidP="003F015A">
            <w:pPr>
              <w:spacing w:after="0" w:line="240" w:lineRule="auto"/>
              <w:jc w:val="center"/>
              <w:rPr>
                <w:rFonts w:ascii="Calibri" w:eastAsia="Times New Roman" w:hAnsi="Calibri" w:cs="Times New Roman"/>
                <w:color w:val="000000"/>
                <w:lang w:eastAsia="en-NZ"/>
              </w:rPr>
            </w:pPr>
            <w:r>
              <w:rPr>
                <w:rFonts w:ascii="Calibri" w:eastAsia="Times New Roman" w:hAnsi="Calibri" w:cs="Times New Roman"/>
                <w:color w:val="000000"/>
                <w:lang w:eastAsia="en-NZ"/>
              </w:rPr>
              <w:t>1</w:t>
            </w:r>
            <w:r w:rsidRPr="007828C3">
              <w:rPr>
                <w:rFonts w:ascii="Calibri" w:eastAsia="Times New Roman" w:hAnsi="Calibri" w:cs="Times New Roman"/>
                <w:color w:val="000000"/>
                <w:lang w:eastAsia="en-NZ"/>
              </w:rPr>
              <w:t>%</w:t>
            </w:r>
          </w:p>
        </w:tc>
        <w:tc>
          <w:tcPr>
            <w:tcW w:w="1365" w:type="dxa"/>
            <w:tcBorders>
              <w:top w:val="single" w:sz="18" w:space="0" w:color="auto"/>
              <w:left w:val="single" w:sz="12" w:space="0" w:color="auto"/>
              <w:bottom w:val="single" w:sz="4" w:space="0" w:color="auto"/>
              <w:right w:val="nil"/>
            </w:tcBorders>
            <w:shd w:val="clear" w:color="auto" w:fill="auto"/>
            <w:noWrap/>
            <w:vAlign w:val="bottom"/>
          </w:tcPr>
          <w:p w14:paraId="4203CDFB" w14:textId="25765A57" w:rsidR="00D06C61" w:rsidRPr="007828C3" w:rsidRDefault="00D06C61" w:rsidP="003F015A">
            <w:pPr>
              <w:keepNext/>
              <w:spacing w:after="0" w:line="240" w:lineRule="auto"/>
              <w:jc w:val="center"/>
              <w:rPr>
                <w:rFonts w:ascii="Calibri" w:eastAsia="Times New Roman" w:hAnsi="Calibri" w:cs="Times New Roman"/>
                <w:color w:val="000000"/>
                <w:lang w:eastAsia="en-NZ"/>
              </w:rPr>
            </w:pPr>
            <w:r>
              <w:rPr>
                <w:rFonts w:ascii="Calibri" w:eastAsia="Times New Roman" w:hAnsi="Calibri" w:cs="Times New Roman"/>
                <w:color w:val="000000"/>
                <w:lang w:eastAsia="en-NZ"/>
              </w:rPr>
              <w:t>6</w:t>
            </w:r>
            <w:r w:rsidRPr="007828C3">
              <w:rPr>
                <w:rFonts w:ascii="Calibri" w:eastAsia="Times New Roman" w:hAnsi="Calibri" w:cs="Times New Roman"/>
                <w:color w:val="000000"/>
                <w:lang w:eastAsia="en-NZ"/>
              </w:rPr>
              <w:t>%</w:t>
            </w:r>
          </w:p>
        </w:tc>
      </w:tr>
    </w:tbl>
    <w:p w14:paraId="4AE97282" w14:textId="0E46DE6E" w:rsidR="00900343" w:rsidRDefault="00900343" w:rsidP="00900343">
      <w:pPr>
        <w:pStyle w:val="Caption"/>
        <w:keepNext/>
        <w:spacing w:before="120"/>
      </w:pPr>
      <w:r>
        <w:t xml:space="preserve">Figure </w:t>
      </w:r>
      <w:fldSimple w:instr=" SEQ Figure \* ARABIC ">
        <w:r w:rsidR="00CC108E">
          <w:rPr>
            <w:noProof/>
          </w:rPr>
          <w:t>29</w:t>
        </w:r>
      </w:fldSimple>
      <w:r>
        <w:t xml:space="preserve">: </w:t>
      </w:r>
      <w:r w:rsidRPr="00862F88">
        <w:t>Number</w:t>
      </w:r>
      <w:r>
        <w:t xml:space="preserve"> </w:t>
      </w:r>
      <w:r w:rsidRPr="00BF7004">
        <w:t xml:space="preserve">attendances for </w:t>
      </w:r>
      <w:r>
        <w:t xml:space="preserve">IV chemotherapy for haematological malignancies </w:t>
      </w:r>
      <w:r w:rsidRPr="00862F88">
        <w:t>by month and year, total population (left) and for Māori (right)</w:t>
      </w:r>
    </w:p>
    <w:p w14:paraId="285FC603" w14:textId="77777777" w:rsidR="00900343" w:rsidRDefault="00D06C61" w:rsidP="00D06C61">
      <w:r>
        <w:rPr>
          <w:noProof/>
        </w:rPr>
        <w:drawing>
          <wp:inline distT="0" distB="0" distL="0" distR="0" wp14:anchorId="389A297D" wp14:editId="206D2E10">
            <wp:extent cx="3095625" cy="2819400"/>
            <wp:effectExtent l="0" t="0" r="9525" b="0"/>
            <wp:docPr id="56" name="Chart 56">
              <a:extLst xmlns:a="http://schemas.openxmlformats.org/drawingml/2006/main">
                <a:ext uri="{FF2B5EF4-FFF2-40B4-BE49-F238E27FC236}">
                  <a16:creationId xmlns:a16="http://schemas.microsoft.com/office/drawing/2014/main" id="{A6A465B2-56C2-4F8B-909D-72EE3D6ED5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00631B0F">
        <w:rPr>
          <w:noProof/>
        </w:rPr>
        <w:drawing>
          <wp:inline distT="0" distB="0" distL="0" distR="0" wp14:anchorId="3BF93161" wp14:editId="698C3FF6">
            <wp:extent cx="3057525" cy="2819400"/>
            <wp:effectExtent l="0" t="0" r="9525" b="0"/>
            <wp:docPr id="57" name="Chart 57">
              <a:extLst xmlns:a="http://schemas.openxmlformats.org/drawingml/2006/main">
                <a:ext uri="{FF2B5EF4-FFF2-40B4-BE49-F238E27FC236}">
                  <a16:creationId xmlns:a16="http://schemas.microsoft.com/office/drawing/2014/main" id="{84F66069-AAA1-4FD3-A90F-EFECCE9414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D3C396D" w14:textId="50FCDD21" w:rsidR="00900343" w:rsidRDefault="00900343" w:rsidP="00900343">
      <w:pPr>
        <w:pStyle w:val="Caption"/>
        <w:keepNext/>
      </w:pPr>
      <w:r>
        <w:lastRenderedPageBreak/>
        <w:t xml:space="preserve">Figure </w:t>
      </w:r>
      <w:fldSimple w:instr=" SEQ Figure \* ARABIC ">
        <w:r w:rsidR="00CC108E">
          <w:rPr>
            <w:noProof/>
          </w:rPr>
          <w:t>30</w:t>
        </w:r>
      </w:fldSimple>
      <w:r>
        <w:t>: Cumulative n</w:t>
      </w:r>
      <w:r w:rsidRPr="00BF7004">
        <w:t xml:space="preserve">umber </w:t>
      </w:r>
      <w:r>
        <w:t xml:space="preserve">of </w:t>
      </w:r>
      <w:r w:rsidRPr="00BF7004">
        <w:t xml:space="preserve">attendances for </w:t>
      </w:r>
      <w:r>
        <w:t>IV chemotherapy for haematological malignancies by</w:t>
      </w:r>
      <w:r w:rsidRPr="00BF7004">
        <w:t xml:space="preserve"> month and year, total population (left) and for Māori (right)</w:t>
      </w:r>
    </w:p>
    <w:p w14:paraId="01DB156C" w14:textId="03CD1735" w:rsidR="00A36B7A" w:rsidRDefault="00976DFA" w:rsidP="00D06C61">
      <w:r>
        <w:rPr>
          <w:noProof/>
        </w:rPr>
        <w:drawing>
          <wp:inline distT="0" distB="0" distL="0" distR="0" wp14:anchorId="7E334CBC" wp14:editId="523B4557">
            <wp:extent cx="3067050" cy="2981325"/>
            <wp:effectExtent l="0" t="0" r="0" b="9525"/>
            <wp:docPr id="58" name="Chart 58">
              <a:extLst xmlns:a="http://schemas.openxmlformats.org/drawingml/2006/main">
                <a:ext uri="{FF2B5EF4-FFF2-40B4-BE49-F238E27FC236}">
                  <a16:creationId xmlns:a16="http://schemas.microsoft.com/office/drawing/2014/main" id="{6337E0BC-9658-4AE5-9478-8A2B654128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Pr>
          <w:noProof/>
        </w:rPr>
        <w:drawing>
          <wp:inline distT="0" distB="0" distL="0" distR="0" wp14:anchorId="14D98E7C" wp14:editId="46DFFFE9">
            <wp:extent cx="3095625" cy="2981325"/>
            <wp:effectExtent l="0" t="0" r="9525" b="9525"/>
            <wp:docPr id="59" name="Chart 59">
              <a:extLst xmlns:a="http://schemas.openxmlformats.org/drawingml/2006/main">
                <a:ext uri="{FF2B5EF4-FFF2-40B4-BE49-F238E27FC236}">
                  <a16:creationId xmlns:a16="http://schemas.microsoft.com/office/drawing/2014/main" id="{306A2368-5B33-48EB-B2E2-8D37B7E6F9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7041617" w14:textId="015653B8" w:rsidR="007828C3" w:rsidRPr="007828C3" w:rsidRDefault="009229D7" w:rsidP="007828C3">
      <w:pPr>
        <w:pStyle w:val="Heading2"/>
      </w:pPr>
      <w:r>
        <w:t>Key points</w:t>
      </w:r>
    </w:p>
    <w:p w14:paraId="4D37A3D0" w14:textId="77777777" w:rsidR="00900343" w:rsidRDefault="00E049E0" w:rsidP="00900343">
      <w:pPr>
        <w:pStyle w:val="ListParagraph"/>
        <w:numPr>
          <w:ilvl w:val="0"/>
          <w:numId w:val="6"/>
        </w:numPr>
      </w:pPr>
      <w:r>
        <w:t>There was a decrease in haemato</w:t>
      </w:r>
      <w:r w:rsidR="007154D3">
        <w:t xml:space="preserve">logy first specialist appointments during April 2020. </w:t>
      </w:r>
      <w:r w:rsidR="00631B0F">
        <w:t xml:space="preserve">This may reflect a decrease in FSAs for non-malignant, non-urgent indications, deferred as part of the hospital response framework. </w:t>
      </w:r>
    </w:p>
    <w:p w14:paraId="0E451A2A" w14:textId="1A04830F" w:rsidR="00900343" w:rsidRDefault="00900343" w:rsidP="00900343">
      <w:pPr>
        <w:pStyle w:val="ListParagraph"/>
        <w:numPr>
          <w:ilvl w:val="0"/>
          <w:numId w:val="6"/>
        </w:numPr>
      </w:pPr>
      <w:r>
        <w:t xml:space="preserve">The decrease in FSAs also aligns with the decrease in haematological cancer registrations (see </w:t>
      </w:r>
      <w:r>
        <w:fldChar w:fldCharType="begin"/>
      </w:r>
      <w:r>
        <w:instrText xml:space="preserve"> REF _Ref41411881 \h </w:instrText>
      </w:r>
      <w:r>
        <w:fldChar w:fldCharType="separate"/>
      </w:r>
      <w:r w:rsidR="00CC108E">
        <w:t xml:space="preserve">Figure </w:t>
      </w:r>
      <w:r w:rsidR="00CC108E">
        <w:rPr>
          <w:noProof/>
        </w:rPr>
        <w:t>4</w:t>
      </w:r>
      <w:r>
        <w:fldChar w:fldCharType="end"/>
      </w:r>
      <w:r>
        <w:t xml:space="preserve"> and </w:t>
      </w:r>
      <w:r>
        <w:fldChar w:fldCharType="begin"/>
      </w:r>
      <w:r>
        <w:instrText xml:space="preserve"> REF _Ref41253294 \h </w:instrText>
      </w:r>
      <w:r>
        <w:fldChar w:fldCharType="separate"/>
      </w:r>
      <w:r w:rsidR="00CC108E">
        <w:t xml:space="preserve">Figure </w:t>
      </w:r>
      <w:r w:rsidR="00CC108E">
        <w:rPr>
          <w:noProof/>
        </w:rPr>
        <w:t>5</w:t>
      </w:r>
      <w:r>
        <w:fldChar w:fldCharType="end"/>
      </w:r>
      <w:r>
        <w:t>). This may reflect a decrease in access to primary care and blood tests during the lock down</w:t>
      </w:r>
      <w:r w:rsidR="00727A72">
        <w:t>, which has not been measured in this report</w:t>
      </w:r>
      <w:r>
        <w:t xml:space="preserve">. </w:t>
      </w:r>
    </w:p>
    <w:p w14:paraId="02D03FEF" w14:textId="764B4710" w:rsidR="002A3BC8" w:rsidRDefault="00BF4D3E" w:rsidP="007828C3">
      <w:pPr>
        <w:pStyle w:val="ListParagraph"/>
        <w:numPr>
          <w:ilvl w:val="0"/>
          <w:numId w:val="6"/>
        </w:numPr>
      </w:pPr>
      <w:r>
        <w:t>Despite the decrease in FSAs and diagnoses, a</w:t>
      </w:r>
      <w:r w:rsidR="002A3BC8">
        <w:t xml:space="preserve">ttendance for IV chemo for haematological malignancies </w:t>
      </w:r>
      <w:r w:rsidR="003F015A">
        <w:t>remained stable during the lockdown</w:t>
      </w:r>
      <w:r>
        <w:t xml:space="preserve">.  </w:t>
      </w:r>
    </w:p>
    <w:p w14:paraId="0614BB37" w14:textId="77777777" w:rsidR="00B76364" w:rsidRDefault="00B76364">
      <w:pPr>
        <w:rPr>
          <w:rFonts w:ascii="Segoe UI" w:eastAsiaTheme="majorEastAsia" w:hAnsi="Segoe UI" w:cstheme="majorBidi"/>
          <w:b/>
          <w:sz w:val="52"/>
          <w:szCs w:val="32"/>
        </w:rPr>
      </w:pPr>
      <w:bookmarkStart w:id="57" w:name="_Toc41410752"/>
      <w:r>
        <w:br w:type="page"/>
      </w:r>
    </w:p>
    <w:p w14:paraId="0A31638F" w14:textId="2B92FA4C" w:rsidR="002A3BC8" w:rsidRDefault="00B76364" w:rsidP="002A3BC8">
      <w:pPr>
        <w:pStyle w:val="Heading1"/>
      </w:pPr>
      <w:bookmarkStart w:id="58" w:name="_Toc41474449"/>
      <w:r>
        <w:lastRenderedPageBreak/>
        <w:t>C</w:t>
      </w:r>
      <w:r w:rsidR="002A3BC8">
        <w:t>onclusion</w:t>
      </w:r>
      <w:r w:rsidR="00E81BDE">
        <w:t>s</w:t>
      </w:r>
      <w:bookmarkEnd w:id="57"/>
      <w:bookmarkEnd w:id="58"/>
    </w:p>
    <w:p w14:paraId="7962465B" w14:textId="61B0FBF3" w:rsidR="002F497B" w:rsidRDefault="00414275" w:rsidP="002F497B">
      <w:pPr>
        <w:pStyle w:val="ListParagraph"/>
        <w:numPr>
          <w:ilvl w:val="0"/>
          <w:numId w:val="4"/>
        </w:numPr>
      </w:pPr>
      <w:r>
        <w:t>Cancer t</w:t>
      </w:r>
      <w:r w:rsidRPr="00EB2B17">
        <w:t xml:space="preserve">reatment </w:t>
      </w:r>
      <w:r>
        <w:t xml:space="preserve">services were largely maintained </w:t>
      </w:r>
      <w:r w:rsidRPr="00EB2B17">
        <w:t xml:space="preserve">during the COVID-19 </w:t>
      </w:r>
      <w:r>
        <w:t>lockdown</w:t>
      </w:r>
      <w:r w:rsidR="00961FA6">
        <w:t xml:space="preserve">. </w:t>
      </w:r>
      <w:r w:rsidR="002F497B">
        <w:t xml:space="preserve">This was the result of a strong collective response from the cancer sector across New Zealand, with active central leadership from the Cancer Control Agency. </w:t>
      </w:r>
    </w:p>
    <w:p w14:paraId="3F8692D7" w14:textId="27F6E03B" w:rsidR="002F497B" w:rsidRDefault="002A3BC8" w:rsidP="002F497B">
      <w:pPr>
        <w:pStyle w:val="ListParagraph"/>
        <w:numPr>
          <w:ilvl w:val="0"/>
          <w:numId w:val="4"/>
        </w:numPr>
      </w:pPr>
      <w:r>
        <w:t>There w</w:t>
      </w:r>
      <w:r w:rsidR="002F497B">
        <w:t xml:space="preserve">as a </w:t>
      </w:r>
      <w:r w:rsidR="00DD7427">
        <w:t xml:space="preserve">substantial </w:t>
      </w:r>
      <w:r w:rsidR="002F497B">
        <w:t>reduction</w:t>
      </w:r>
      <w:r>
        <w:t xml:space="preserve"> in</w:t>
      </w:r>
      <w:r w:rsidR="00847F02">
        <w:t xml:space="preserve"> </w:t>
      </w:r>
      <w:r w:rsidR="002F497B">
        <w:t xml:space="preserve">new cancer registrations over the lockdown period. </w:t>
      </w:r>
      <w:r w:rsidR="00074FB9">
        <w:t xml:space="preserve">A key contributor to this was a decrease in </w:t>
      </w:r>
      <w:r w:rsidR="00847F02">
        <w:t>diagnostic services,</w:t>
      </w:r>
      <w:r w:rsidR="00833C0F">
        <w:t xml:space="preserve"> demonstrated in this report by the decrease in </w:t>
      </w:r>
      <w:r w:rsidR="00847F02">
        <w:t>gastrointestinal endoscop</w:t>
      </w:r>
      <w:r w:rsidR="00833C0F">
        <w:t xml:space="preserve">ies </w:t>
      </w:r>
      <w:r w:rsidR="00847F02">
        <w:t xml:space="preserve">and </w:t>
      </w:r>
      <w:r w:rsidR="00CA5926">
        <w:t>b</w:t>
      </w:r>
      <w:r w:rsidR="00847F02">
        <w:t>ronchos</w:t>
      </w:r>
      <w:r w:rsidR="00833C0F">
        <w:t xml:space="preserve">copies. </w:t>
      </w:r>
      <w:r w:rsidR="002F497B">
        <w:t>Other parts of the diagnostic pathway, such as access to primary care and radiology, have not been measured in this report, but are likely to have also contribute</w:t>
      </w:r>
      <w:r w:rsidR="00074FB9">
        <w:t>d</w:t>
      </w:r>
      <w:r w:rsidR="002F497B">
        <w:t xml:space="preserve"> to the reduction in new cancer registrations.</w:t>
      </w:r>
    </w:p>
    <w:p w14:paraId="425C5F78" w14:textId="7B93554B" w:rsidR="002F497B" w:rsidRPr="00023AB2" w:rsidRDefault="002F497B" w:rsidP="002F497B">
      <w:pPr>
        <w:pStyle w:val="ListParagraph"/>
        <w:numPr>
          <w:ilvl w:val="0"/>
          <w:numId w:val="4"/>
        </w:numPr>
      </w:pPr>
      <w:r w:rsidRPr="00C454EE">
        <w:t xml:space="preserve">It is likely that any delays to cancer diagnosis due to temporary suspension of screening </w:t>
      </w:r>
      <w:r>
        <w:t>programmes</w:t>
      </w:r>
      <w:r w:rsidRPr="00C454EE">
        <w:t xml:space="preserve"> will not have been detected in the period covered here, although </w:t>
      </w:r>
      <w:r>
        <w:t xml:space="preserve">a small amount </w:t>
      </w:r>
      <w:r w:rsidRPr="00C454EE">
        <w:t>of the decline in breast cancer registrations may be due to thi</w:t>
      </w:r>
      <w:r>
        <w:t>s</w:t>
      </w:r>
      <w:r w:rsidRPr="00023AB2">
        <w:t>.</w:t>
      </w:r>
      <w:r>
        <w:t xml:space="preserve"> </w:t>
      </w:r>
    </w:p>
    <w:p w14:paraId="3D6E8013" w14:textId="77777777" w:rsidR="00833C0F" w:rsidRDefault="00023AB2" w:rsidP="00833C0F">
      <w:pPr>
        <w:pStyle w:val="ListParagraph"/>
        <w:numPr>
          <w:ilvl w:val="0"/>
          <w:numId w:val="4"/>
        </w:numPr>
      </w:pPr>
      <w:r>
        <w:t>Overall, the disruptions to the cancer care pathway do not appear to have increased inequities, with Māori being less severely impacted across most measure</w:t>
      </w:r>
      <w:r w:rsidR="00833C0F">
        <w:t>s</w:t>
      </w:r>
      <w:r>
        <w:t>.</w:t>
      </w:r>
      <w:r w:rsidR="00833C0F">
        <w:t xml:space="preserve"> </w:t>
      </w:r>
    </w:p>
    <w:p w14:paraId="1941A5FC" w14:textId="77777777" w:rsidR="00C47DF3" w:rsidRDefault="00833C0F" w:rsidP="00833C0F">
      <w:pPr>
        <w:pStyle w:val="ListParagraph"/>
        <w:numPr>
          <w:ilvl w:val="1"/>
          <w:numId w:val="4"/>
        </w:numPr>
      </w:pPr>
      <w:r>
        <w:t>One exception is bronchoscopies and lung cancer surgery, where Māori appear to have been disproportionately impacted and where the decline occurred prior to the lockdown.</w:t>
      </w:r>
    </w:p>
    <w:p w14:paraId="2DC0E8F0" w14:textId="0D862181" w:rsidR="00833C0F" w:rsidRDefault="00C47DF3" w:rsidP="004D5F4D">
      <w:pPr>
        <w:pStyle w:val="ListParagraph"/>
        <w:numPr>
          <w:ilvl w:val="1"/>
          <w:numId w:val="4"/>
        </w:numPr>
      </w:pPr>
      <w:r>
        <w:t>There was</w:t>
      </w:r>
      <w:r w:rsidR="002F497B">
        <w:t xml:space="preserve"> also</w:t>
      </w:r>
      <w:r>
        <w:t xml:space="preserve"> a larger decrease in radiation oncology attendances for Māori compared to non-Māori during the lockdown. This may reflect the regional nature of radiotherapy services and greater requirement to travel for treatment, highlighting the importance of ensuring transport and accommodation continue</w:t>
      </w:r>
      <w:r w:rsidR="002F497B">
        <w:t xml:space="preserve">. </w:t>
      </w:r>
    </w:p>
    <w:p w14:paraId="69A93F40" w14:textId="634C84A9" w:rsidR="00023AB2" w:rsidRDefault="00023AB2" w:rsidP="002A3BC8">
      <w:pPr>
        <w:pStyle w:val="ListParagraph"/>
        <w:numPr>
          <w:ilvl w:val="0"/>
          <w:numId w:val="4"/>
        </w:numPr>
      </w:pPr>
      <w:r>
        <w:t>Clear planning is needed to ensure inequities are not exacerbated during the recovery phase.</w:t>
      </w:r>
    </w:p>
    <w:p w14:paraId="0DEA3FA5" w14:textId="4C1EBC94" w:rsidR="007B0F3F" w:rsidRDefault="00976DFA" w:rsidP="002A3BC8">
      <w:pPr>
        <w:pStyle w:val="ListParagraph"/>
        <w:numPr>
          <w:ilvl w:val="0"/>
          <w:numId w:val="4"/>
        </w:numPr>
      </w:pPr>
      <w:r>
        <w:t xml:space="preserve">The purpose of this analysis was to measure the impact of the COVID-19 </w:t>
      </w:r>
      <w:r w:rsidR="00074FB9">
        <w:t xml:space="preserve">lockdown </w:t>
      </w:r>
      <w:r>
        <w:t xml:space="preserve">on existing service delivery. This does not </w:t>
      </w:r>
      <w:proofErr w:type="gramStart"/>
      <w:r>
        <w:t>take into account</w:t>
      </w:r>
      <w:proofErr w:type="gramEnd"/>
      <w:r>
        <w:t xml:space="preserve"> pre-existing unmet need</w:t>
      </w:r>
      <w:r w:rsidR="00074FB9">
        <w:t>, or any projected increase in diagnoses over time.</w:t>
      </w:r>
    </w:p>
    <w:p w14:paraId="11DAAAE2" w14:textId="04EC6162" w:rsidR="00C176C4" w:rsidRDefault="00CD12AC" w:rsidP="00C176C4">
      <w:pPr>
        <w:pStyle w:val="ListParagraph"/>
        <w:numPr>
          <w:ilvl w:val="0"/>
          <w:numId w:val="4"/>
        </w:numPr>
      </w:pPr>
      <w:r>
        <w:t xml:space="preserve">To </w:t>
      </w:r>
      <w:r w:rsidR="00C176C4">
        <w:t xml:space="preserve">minimise the </w:t>
      </w:r>
      <w:r>
        <w:t xml:space="preserve">ongoing </w:t>
      </w:r>
      <w:r w:rsidR="00C176C4">
        <w:t xml:space="preserve">impact of COVID-related health service disruptions </w:t>
      </w:r>
      <w:r>
        <w:t xml:space="preserve">the immediate focus </w:t>
      </w:r>
      <w:r w:rsidR="00C176C4">
        <w:t xml:space="preserve">should be on diagnostic services. Endoscopy and bronchoscopy services are currently operating. Careful planning is required to ensure these services </w:t>
      </w:r>
      <w:r w:rsidR="00652E60">
        <w:t>can</w:t>
      </w:r>
      <w:r w:rsidR="00C176C4">
        <w:t xml:space="preserve"> address the backlog of patients.</w:t>
      </w:r>
    </w:p>
    <w:p w14:paraId="55AC55FA" w14:textId="369CB842" w:rsidR="00A85CEC" w:rsidRDefault="00C47DF3" w:rsidP="00C176C4">
      <w:pPr>
        <w:pStyle w:val="ListParagraph"/>
        <w:numPr>
          <w:ilvl w:val="0"/>
          <w:numId w:val="4"/>
        </w:numPr>
      </w:pPr>
      <w:r>
        <w:t xml:space="preserve">It takes time for someone to progress through the cancer care pathway, this means it is likely we have not yet seen the full impact of the COVID-19 lockdown. The Cancer Control Agency will continue to monitor services to help with the ongoing planning and delivery of care. </w:t>
      </w:r>
    </w:p>
    <w:p w14:paraId="093B6508" w14:textId="2C016DD1" w:rsidR="00FF6DC0" w:rsidRDefault="00FF6DC0" w:rsidP="00FF6DC0">
      <w:pPr>
        <w:ind w:left="360"/>
      </w:pPr>
    </w:p>
    <w:p w14:paraId="6FEAFD18" w14:textId="24FC6DEB" w:rsidR="008529AC" w:rsidRDefault="008529AC" w:rsidP="008529AC">
      <w:pPr>
        <w:pStyle w:val="ListParagraph"/>
      </w:pPr>
    </w:p>
    <w:p w14:paraId="0F41A07F" w14:textId="77777777" w:rsidR="00DE0774" w:rsidRDefault="00DE0774">
      <w:pPr>
        <w:rPr>
          <w:rFonts w:ascii="Segoe UI" w:eastAsiaTheme="majorEastAsia" w:hAnsi="Segoe UI" w:cstheme="majorBidi"/>
          <w:b/>
          <w:sz w:val="48"/>
          <w:szCs w:val="32"/>
        </w:rPr>
      </w:pPr>
      <w:r>
        <w:br w:type="page"/>
      </w:r>
    </w:p>
    <w:p w14:paraId="03118EF1" w14:textId="08B0F8B0" w:rsidR="008529AC" w:rsidRDefault="008529AC" w:rsidP="008529AC">
      <w:pPr>
        <w:pStyle w:val="Heading1"/>
      </w:pPr>
      <w:bookmarkStart w:id="59" w:name="_Ref41149267"/>
      <w:bookmarkStart w:id="60" w:name="_Toc41410753"/>
      <w:bookmarkStart w:id="61" w:name="_Toc41474450"/>
      <w:r>
        <w:lastRenderedPageBreak/>
        <w:t>Appendix 1</w:t>
      </w:r>
      <w:r w:rsidR="00614CDA">
        <w:t>: NZCR data</w:t>
      </w:r>
      <w:bookmarkEnd w:id="59"/>
      <w:bookmarkEnd w:id="60"/>
      <w:bookmarkEnd w:id="61"/>
    </w:p>
    <w:p w14:paraId="22C21978" w14:textId="77777777" w:rsidR="003A2CC6" w:rsidRDefault="008529AC" w:rsidP="003A2CC6">
      <w:pPr>
        <w:pStyle w:val="Heading2"/>
      </w:pPr>
      <w:r>
        <w:t>The New Zealand Cancer Registry as a source of data for new cancer diagnoses</w:t>
      </w:r>
    </w:p>
    <w:p w14:paraId="6320BD8A" w14:textId="0B57CFE9" w:rsidR="003A2CC6" w:rsidRDefault="003A2CC6" w:rsidP="003A2CC6">
      <w:r w:rsidRPr="003A2CC6">
        <w:t>Cancer registration is a process where data is collated from multiple sources about people diagnosed with cancer and rules are applied to determine the type of cancer they have. This information is recorded in the New Zealand Cancer Registry. Each tumour is classified using an international World Health Organisation standard so that cancer incidence can be compared between countries. The tumour is staged based on all the information available within 4 months of diagnosis. This process may take up to six months or more depending on the number of missing reports that need to be followed up with laboratories.</w:t>
      </w:r>
    </w:p>
    <w:p w14:paraId="42CFE3C7" w14:textId="7BBA1027" w:rsidR="003A2CC6" w:rsidRDefault="003A2CC6" w:rsidP="003A2CC6">
      <w:r w:rsidRPr="003A2CC6">
        <w:t>For each registration there may be multiple pathology reports as there may be multiple procedures performed on the tumour. This means there will be more than one registration for people diagnosed with more than one type of tumour.</w:t>
      </w:r>
    </w:p>
    <w:p w14:paraId="2C0AA1B4" w14:textId="15275318" w:rsidR="003A2CC6" w:rsidRDefault="003A2CC6" w:rsidP="003A2CC6">
      <w:r w:rsidRPr="003A2CC6">
        <w:t>Cancer registrations come from pathology laboratories, haematology laboratories, mortality records and reviewing hospital discharge records. Laboratory reports provide the best source of near real time data to monitor new diagnoses of cancer in New Zealand.</w:t>
      </w:r>
    </w:p>
    <w:p w14:paraId="71EE2904" w14:textId="77777777" w:rsidR="008529AC" w:rsidRDefault="008529AC" w:rsidP="008529AC">
      <w:pPr>
        <w:pStyle w:val="Heading2"/>
      </w:pPr>
      <w:r>
        <w:t>Pathology reports as a data source for providing near real time monitoring cancer diagnoses</w:t>
      </w:r>
    </w:p>
    <w:p w14:paraId="7EED08C9" w14:textId="77777777" w:rsidR="003A2CC6" w:rsidRDefault="003A2CC6">
      <w:r w:rsidRPr="003A2CC6">
        <w:t>Pathology reports (documents) are received by the NZCR as electronic messages. An administrator triages these documents each day and if the document appears to meet the requirements for registration the document is “administered”. The document may relate to an existing registration or may contain information for a new cancer event. Documents that do not meet the cancer reporting requirements will be marked as “deleted”, “rejected” or “agreed not for registration”.</w:t>
      </w:r>
    </w:p>
    <w:p w14:paraId="46C23803" w14:textId="2CCAA175" w:rsidR="001840CE" w:rsidRDefault="003A2CC6">
      <w:r w:rsidRPr="003A2CC6">
        <w:t xml:space="preserve">The administrator creates a new provisional cancer event if the pathology report identifies a new cancer diagnosis for this person. This new cancer event is assigned to a cancer group and this provisional event is then queued for further assessment by a clinical coder. If the required information has been provided the coder creates a new registration. If some information is not yet </w:t>
      </w:r>
      <w:r w:rsidR="009D0E39" w:rsidRPr="003A2CC6">
        <w:t>available,</w:t>
      </w:r>
      <w:r w:rsidRPr="003A2CC6">
        <w:t xml:space="preserve"> then the registration is held open until further information arrives to complete the registration or determine that the tumour does not meet the registration criteria.</w:t>
      </w:r>
      <w:r w:rsidR="001840CE">
        <w:br w:type="page"/>
      </w:r>
    </w:p>
    <w:p w14:paraId="03C2E125" w14:textId="7B4DB8CA" w:rsidR="001840CE" w:rsidRDefault="001840CE" w:rsidP="001840CE">
      <w:pPr>
        <w:pStyle w:val="Heading1"/>
      </w:pPr>
      <w:bookmarkStart w:id="62" w:name="_Toc41410754"/>
      <w:bookmarkStart w:id="63" w:name="_Toc41474451"/>
      <w:r>
        <w:lastRenderedPageBreak/>
        <w:t>Appendix 2: NZCR registrations by DHB</w:t>
      </w:r>
      <w:bookmarkEnd w:id="62"/>
      <w:bookmarkEnd w:id="63"/>
    </w:p>
    <w:p w14:paraId="1C7182D5" w14:textId="1EFEC776" w:rsidR="001840CE" w:rsidRDefault="001840CE" w:rsidP="001840CE">
      <w:r>
        <w:t xml:space="preserve">Note: Due to an issue with referrals through to NZCR, all CAPS (Community Anatomic Pathology Service) data has been excluded (accounts for approximately 12% of data). This means that the number of registrations in the Auckland DHBs appears low. </w:t>
      </w:r>
    </w:p>
    <w:p w14:paraId="79F334C3" w14:textId="77777777" w:rsidR="001840CE" w:rsidRDefault="001840CE" w:rsidP="001840CE">
      <w:r>
        <w:rPr>
          <w:noProof/>
        </w:rPr>
        <w:drawing>
          <wp:inline distT="0" distB="0" distL="0" distR="0" wp14:anchorId="34F3F888" wp14:editId="7EFA206A">
            <wp:extent cx="6210935" cy="564642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210935" cy="5646420"/>
                    </a:xfrm>
                    <a:prstGeom prst="rect">
                      <a:avLst/>
                    </a:prstGeom>
                  </pic:spPr>
                </pic:pic>
              </a:graphicData>
            </a:graphic>
          </wp:inline>
        </w:drawing>
      </w:r>
    </w:p>
    <w:p w14:paraId="27307C75" w14:textId="77777777" w:rsidR="001840CE" w:rsidRDefault="001840CE" w:rsidP="001840CE">
      <w:r>
        <w:rPr>
          <w:noProof/>
        </w:rPr>
        <w:drawing>
          <wp:inline distT="0" distB="0" distL="0" distR="0" wp14:anchorId="1E3CC635" wp14:editId="333A8B4A">
            <wp:extent cx="6210935" cy="1842135"/>
            <wp:effectExtent l="0" t="0" r="0" b="571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210935" cy="1842135"/>
                    </a:xfrm>
                    <a:prstGeom prst="rect">
                      <a:avLst/>
                    </a:prstGeom>
                  </pic:spPr>
                </pic:pic>
              </a:graphicData>
            </a:graphic>
          </wp:inline>
        </w:drawing>
      </w:r>
    </w:p>
    <w:p w14:paraId="38B11B9A" w14:textId="77777777" w:rsidR="001840CE" w:rsidRDefault="001840CE" w:rsidP="001840CE">
      <w:r>
        <w:rPr>
          <w:noProof/>
        </w:rPr>
        <w:lastRenderedPageBreak/>
        <w:drawing>
          <wp:inline distT="0" distB="0" distL="0" distR="0" wp14:anchorId="593B90D4" wp14:editId="1DFD86D1">
            <wp:extent cx="6210935" cy="5580380"/>
            <wp:effectExtent l="0" t="0" r="0"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210935" cy="5580380"/>
                    </a:xfrm>
                    <a:prstGeom prst="rect">
                      <a:avLst/>
                    </a:prstGeom>
                  </pic:spPr>
                </pic:pic>
              </a:graphicData>
            </a:graphic>
          </wp:inline>
        </w:drawing>
      </w:r>
    </w:p>
    <w:p w14:paraId="2DA7A13A" w14:textId="77777777" w:rsidR="001840CE" w:rsidRDefault="001840CE" w:rsidP="001840CE">
      <w:r>
        <w:rPr>
          <w:noProof/>
        </w:rPr>
        <w:drawing>
          <wp:inline distT="0" distB="0" distL="0" distR="0" wp14:anchorId="15629890" wp14:editId="253A62F0">
            <wp:extent cx="6210935" cy="18764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210935" cy="1876425"/>
                    </a:xfrm>
                    <a:prstGeom prst="rect">
                      <a:avLst/>
                    </a:prstGeom>
                  </pic:spPr>
                </pic:pic>
              </a:graphicData>
            </a:graphic>
          </wp:inline>
        </w:drawing>
      </w:r>
    </w:p>
    <w:p w14:paraId="0A44B575" w14:textId="5702E7D6" w:rsidR="001840CE" w:rsidRDefault="001840CE" w:rsidP="001840CE">
      <w:r>
        <w:rPr>
          <w:noProof/>
        </w:rPr>
        <w:lastRenderedPageBreak/>
        <w:drawing>
          <wp:inline distT="0" distB="0" distL="0" distR="0" wp14:anchorId="2584D04A" wp14:editId="73376EA9">
            <wp:extent cx="6210300" cy="37338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210300" cy="3733800"/>
                    </a:xfrm>
                    <a:prstGeom prst="rect">
                      <a:avLst/>
                    </a:prstGeom>
                  </pic:spPr>
                </pic:pic>
              </a:graphicData>
            </a:graphic>
          </wp:inline>
        </w:drawing>
      </w:r>
      <w:r>
        <w:br w:type="page"/>
      </w:r>
    </w:p>
    <w:p w14:paraId="66B44AC4" w14:textId="77777777" w:rsidR="001840CE" w:rsidRDefault="001840CE" w:rsidP="008529AC">
      <w:pPr>
        <w:sectPr w:rsidR="001840CE" w:rsidSect="008E5342">
          <w:headerReference w:type="default" r:id="rId73"/>
          <w:footerReference w:type="default" r:id="rId74"/>
          <w:pgSz w:w="11906" w:h="16838"/>
          <w:pgMar w:top="1440" w:right="991" w:bottom="1440" w:left="1134" w:header="708" w:footer="708" w:gutter="0"/>
          <w:cols w:space="708"/>
          <w:titlePg/>
          <w:docGrid w:linePitch="360"/>
        </w:sectPr>
      </w:pPr>
    </w:p>
    <w:p w14:paraId="50EABD67" w14:textId="376FB53F" w:rsidR="001840CE" w:rsidRDefault="001840CE" w:rsidP="008529AC"/>
    <w:p w14:paraId="4D315AEB" w14:textId="1E5864CE" w:rsidR="001840CE" w:rsidRDefault="00D948EA">
      <w:r>
        <w:rPr>
          <w:noProof/>
        </w:rPr>
        <w:drawing>
          <wp:inline distT="0" distB="0" distL="0" distR="0" wp14:anchorId="401FF6DF" wp14:editId="028B6846">
            <wp:extent cx="8863330" cy="4036060"/>
            <wp:effectExtent l="0" t="0" r="0" b="2540"/>
            <wp:docPr id="17" name="Picture 28">
              <a:extLst xmlns:a="http://schemas.openxmlformats.org/drawingml/2006/main">
                <a:ext uri="{FF2B5EF4-FFF2-40B4-BE49-F238E27FC236}">
                  <a16:creationId xmlns:a16="http://schemas.microsoft.com/office/drawing/2014/main" id="{D4074C3F-3695-452F-AB75-12AB37A4F2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D4074C3F-3695-452F-AB75-12AB37A4F215}"/>
                        </a:ext>
                      </a:extLst>
                    </pic:cNvPr>
                    <pic:cNvPicPr>
                      <a:picLocks noChangeAspect="1"/>
                    </pic:cNvPicPr>
                  </pic:nvPicPr>
                  <pic:blipFill>
                    <a:blip r:embed="rId75"/>
                    <a:stretch>
                      <a:fillRect/>
                    </a:stretch>
                  </pic:blipFill>
                  <pic:spPr>
                    <a:xfrm>
                      <a:off x="0" y="0"/>
                      <a:ext cx="8863330" cy="4036060"/>
                    </a:xfrm>
                    <a:prstGeom prst="rect">
                      <a:avLst/>
                    </a:prstGeom>
                  </pic:spPr>
                </pic:pic>
              </a:graphicData>
            </a:graphic>
          </wp:inline>
        </w:drawing>
      </w:r>
    </w:p>
    <w:p w14:paraId="7805DFC1" w14:textId="77777777" w:rsidR="00C271AB" w:rsidRDefault="00C271AB" w:rsidP="008529AC">
      <w:pPr>
        <w:sectPr w:rsidR="00C271AB" w:rsidSect="001840CE">
          <w:pgSz w:w="16838" w:h="11906" w:orient="landscape"/>
          <w:pgMar w:top="1134" w:right="1440" w:bottom="991" w:left="1440" w:header="708" w:footer="708" w:gutter="0"/>
          <w:cols w:space="708"/>
          <w:docGrid w:linePitch="360"/>
        </w:sectPr>
      </w:pPr>
    </w:p>
    <w:p w14:paraId="4425ACAA" w14:textId="52B0D0FE" w:rsidR="008529AC" w:rsidRDefault="001A1264" w:rsidP="00C271AB">
      <w:pPr>
        <w:pStyle w:val="Heading1"/>
      </w:pPr>
      <w:bookmarkStart w:id="64" w:name="_Toc41410755"/>
      <w:bookmarkStart w:id="65" w:name="_Toc41474452"/>
      <w:r>
        <w:lastRenderedPageBreak/>
        <w:t xml:space="preserve">Appendix 3: </w:t>
      </w:r>
      <w:r w:rsidR="00C271AB">
        <w:t>Surgical procedure codes</w:t>
      </w:r>
      <w:bookmarkEnd w:id="64"/>
      <w:bookmarkEnd w:id="65"/>
      <w:r w:rsidR="00C271AB">
        <w:t xml:space="preserve"> </w:t>
      </w:r>
    </w:p>
    <w:p w14:paraId="587105AA" w14:textId="58F69F59" w:rsidR="008529AC" w:rsidRPr="00F62620" w:rsidRDefault="00C271AB" w:rsidP="008529AC">
      <w:r>
        <w:t xml:space="preserve">Below is a list of the surgical procedure codes that were used for analysis on curative cancer surgery. </w:t>
      </w:r>
    </w:p>
    <w:tbl>
      <w:tblPr>
        <w:tblW w:w="9351" w:type="dxa"/>
        <w:tblLook w:val="04A0" w:firstRow="1" w:lastRow="0" w:firstColumn="1" w:lastColumn="0" w:noHBand="0" w:noVBand="1"/>
      </w:tblPr>
      <w:tblGrid>
        <w:gridCol w:w="960"/>
        <w:gridCol w:w="3760"/>
        <w:gridCol w:w="4631"/>
      </w:tblGrid>
      <w:tr w:rsidR="00C271AB" w:rsidRPr="00C271AB" w14:paraId="4A9A750A" w14:textId="77777777" w:rsidTr="00C52D06">
        <w:trPr>
          <w:trHeight w:val="300"/>
        </w:trPr>
        <w:tc>
          <w:tcPr>
            <w:tcW w:w="9351"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BE7E71F" w14:textId="378949D5" w:rsidR="00C271AB" w:rsidRPr="00C52D06" w:rsidRDefault="00C271AB" w:rsidP="00C271AB">
            <w:pPr>
              <w:spacing w:after="0" w:line="240" w:lineRule="auto"/>
              <w:jc w:val="center"/>
              <w:rPr>
                <w:rFonts w:ascii="Segoe UI" w:eastAsia="Times New Roman" w:hAnsi="Segoe UI" w:cs="Segoe UI"/>
                <w:b/>
                <w:bCs/>
                <w:color w:val="000000"/>
                <w:sz w:val="20"/>
                <w:szCs w:val="18"/>
                <w:lang w:eastAsia="en-NZ"/>
              </w:rPr>
            </w:pPr>
            <w:r w:rsidRPr="00C52D06">
              <w:rPr>
                <w:rFonts w:ascii="Segoe UI" w:eastAsia="Times New Roman" w:hAnsi="Segoe UI" w:cs="Segoe UI"/>
                <w:b/>
                <w:bCs/>
                <w:color w:val="000000"/>
                <w:sz w:val="20"/>
                <w:szCs w:val="18"/>
                <w:lang w:eastAsia="en-NZ"/>
              </w:rPr>
              <w:t xml:space="preserve">COLORECTAL </w:t>
            </w:r>
            <w:r w:rsidR="00C52D06" w:rsidRPr="00C52D06">
              <w:rPr>
                <w:rFonts w:ascii="Segoe UI" w:eastAsia="Times New Roman" w:hAnsi="Segoe UI" w:cs="Segoe UI"/>
                <w:b/>
                <w:bCs/>
                <w:color w:val="000000"/>
                <w:sz w:val="20"/>
                <w:szCs w:val="18"/>
                <w:lang w:eastAsia="en-NZ"/>
              </w:rPr>
              <w:t xml:space="preserve">CANCER </w:t>
            </w:r>
            <w:r w:rsidRPr="00C52D06">
              <w:rPr>
                <w:rFonts w:ascii="Segoe UI" w:eastAsia="Times New Roman" w:hAnsi="Segoe UI" w:cs="Segoe UI"/>
                <w:b/>
                <w:bCs/>
                <w:color w:val="000000"/>
                <w:sz w:val="20"/>
                <w:szCs w:val="18"/>
                <w:lang w:eastAsia="en-NZ"/>
              </w:rPr>
              <w:t>SURGERY</w:t>
            </w:r>
          </w:p>
        </w:tc>
      </w:tr>
      <w:tr w:rsidR="00C271AB" w:rsidRPr="00C271AB" w14:paraId="68414912" w14:textId="77777777" w:rsidTr="00C52D06">
        <w:trPr>
          <w:trHeight w:val="300"/>
        </w:trPr>
        <w:tc>
          <w:tcPr>
            <w:tcW w:w="960" w:type="dxa"/>
            <w:tcBorders>
              <w:top w:val="single" w:sz="4" w:space="0" w:color="auto"/>
              <w:left w:val="nil"/>
              <w:bottom w:val="nil"/>
              <w:right w:val="nil"/>
            </w:tcBorders>
            <w:shd w:val="clear" w:color="000000" w:fill="D9D9D9"/>
            <w:noWrap/>
            <w:vAlign w:val="center"/>
            <w:hideMark/>
          </w:tcPr>
          <w:p w14:paraId="1E0876AB" w14:textId="77777777" w:rsidR="00C271AB" w:rsidRPr="00C271AB" w:rsidRDefault="00C271AB" w:rsidP="00C271AB">
            <w:pPr>
              <w:spacing w:after="0" w:line="240" w:lineRule="auto"/>
              <w:jc w:val="center"/>
              <w:rPr>
                <w:rFonts w:ascii="Segoe UI" w:eastAsia="Times New Roman" w:hAnsi="Segoe UI" w:cs="Segoe UI"/>
                <w:bCs/>
                <w:color w:val="000000"/>
                <w:sz w:val="18"/>
                <w:szCs w:val="18"/>
                <w:lang w:eastAsia="en-NZ"/>
              </w:rPr>
            </w:pPr>
            <w:r w:rsidRPr="00C271AB">
              <w:rPr>
                <w:rFonts w:ascii="Segoe UI" w:eastAsia="Times New Roman" w:hAnsi="Segoe UI" w:cs="Segoe UI"/>
                <w:bCs/>
                <w:color w:val="000000"/>
                <w:sz w:val="18"/>
                <w:szCs w:val="18"/>
                <w:lang w:eastAsia="en-NZ"/>
              </w:rPr>
              <w:t>Clinical code</w:t>
            </w:r>
          </w:p>
        </w:tc>
        <w:tc>
          <w:tcPr>
            <w:tcW w:w="3760" w:type="dxa"/>
            <w:tcBorders>
              <w:top w:val="single" w:sz="4" w:space="0" w:color="auto"/>
              <w:left w:val="nil"/>
              <w:bottom w:val="nil"/>
              <w:right w:val="nil"/>
            </w:tcBorders>
            <w:shd w:val="clear" w:color="000000" w:fill="D9D9D9"/>
            <w:noWrap/>
            <w:vAlign w:val="center"/>
            <w:hideMark/>
          </w:tcPr>
          <w:p w14:paraId="45BD3DE3" w14:textId="77777777" w:rsidR="00C271AB" w:rsidRPr="00C271AB" w:rsidRDefault="00C271AB" w:rsidP="00C271AB">
            <w:pPr>
              <w:spacing w:after="0" w:line="240" w:lineRule="auto"/>
              <w:rPr>
                <w:rFonts w:ascii="Segoe UI" w:eastAsia="Times New Roman" w:hAnsi="Segoe UI" w:cs="Segoe UI"/>
                <w:bCs/>
                <w:color w:val="000000"/>
                <w:sz w:val="18"/>
                <w:szCs w:val="18"/>
                <w:lang w:eastAsia="en-NZ"/>
              </w:rPr>
            </w:pPr>
            <w:r w:rsidRPr="00C271AB">
              <w:rPr>
                <w:rFonts w:ascii="Segoe UI" w:eastAsia="Times New Roman" w:hAnsi="Segoe UI" w:cs="Segoe UI"/>
                <w:bCs/>
                <w:color w:val="000000"/>
                <w:sz w:val="18"/>
                <w:szCs w:val="18"/>
                <w:lang w:eastAsia="en-NZ"/>
              </w:rPr>
              <w:t>Block short description</w:t>
            </w:r>
          </w:p>
        </w:tc>
        <w:tc>
          <w:tcPr>
            <w:tcW w:w="4631" w:type="dxa"/>
            <w:tcBorders>
              <w:top w:val="single" w:sz="4" w:space="0" w:color="auto"/>
              <w:left w:val="nil"/>
              <w:bottom w:val="nil"/>
              <w:right w:val="nil"/>
            </w:tcBorders>
            <w:shd w:val="clear" w:color="000000" w:fill="D9D9D9"/>
            <w:noWrap/>
            <w:vAlign w:val="center"/>
            <w:hideMark/>
          </w:tcPr>
          <w:p w14:paraId="07FBF70C" w14:textId="77777777" w:rsidR="00C271AB" w:rsidRPr="00C271AB" w:rsidRDefault="00C271AB" w:rsidP="00C271AB">
            <w:pPr>
              <w:spacing w:after="0" w:line="240" w:lineRule="auto"/>
              <w:rPr>
                <w:rFonts w:ascii="Segoe UI" w:eastAsia="Times New Roman" w:hAnsi="Segoe UI" w:cs="Segoe UI"/>
                <w:bCs/>
                <w:color w:val="000000"/>
                <w:sz w:val="18"/>
                <w:szCs w:val="18"/>
                <w:lang w:eastAsia="en-NZ"/>
              </w:rPr>
            </w:pPr>
            <w:r w:rsidRPr="00C271AB">
              <w:rPr>
                <w:rFonts w:ascii="Segoe UI" w:eastAsia="Times New Roman" w:hAnsi="Segoe UI" w:cs="Segoe UI"/>
                <w:bCs/>
                <w:color w:val="000000"/>
                <w:sz w:val="18"/>
                <w:szCs w:val="18"/>
                <w:lang w:eastAsia="en-NZ"/>
              </w:rPr>
              <w:t>Clinical code description</w:t>
            </w:r>
          </w:p>
        </w:tc>
      </w:tr>
      <w:tr w:rsidR="00C271AB" w:rsidRPr="00C271AB" w14:paraId="3D614985" w14:textId="77777777" w:rsidTr="00C52D06">
        <w:trPr>
          <w:trHeight w:val="315"/>
        </w:trPr>
        <w:tc>
          <w:tcPr>
            <w:tcW w:w="960" w:type="dxa"/>
            <w:tcBorders>
              <w:top w:val="nil"/>
              <w:left w:val="nil"/>
              <w:bottom w:val="single" w:sz="8" w:space="0" w:color="A6A6A6"/>
              <w:right w:val="nil"/>
            </w:tcBorders>
            <w:shd w:val="clear" w:color="auto" w:fill="auto"/>
            <w:noWrap/>
            <w:vAlign w:val="center"/>
            <w:hideMark/>
          </w:tcPr>
          <w:p w14:paraId="2B9D1CD8" w14:textId="77777777" w:rsidR="00C271AB" w:rsidRPr="00C52D06" w:rsidRDefault="00C271AB" w:rsidP="00C271AB">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3200000</w:t>
            </w:r>
          </w:p>
        </w:tc>
        <w:tc>
          <w:tcPr>
            <w:tcW w:w="3760" w:type="dxa"/>
            <w:tcBorders>
              <w:top w:val="nil"/>
              <w:left w:val="nil"/>
              <w:bottom w:val="single" w:sz="8" w:space="0" w:color="A6A6A6"/>
              <w:right w:val="nil"/>
            </w:tcBorders>
            <w:shd w:val="clear" w:color="auto" w:fill="auto"/>
            <w:noWrap/>
            <w:vAlign w:val="center"/>
            <w:hideMark/>
          </w:tcPr>
          <w:p w14:paraId="45685420"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4E70184E"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Limited excision of large intestine with formation of stoma</w:t>
            </w:r>
          </w:p>
        </w:tc>
      </w:tr>
      <w:tr w:rsidR="00C271AB" w:rsidRPr="00C271AB" w14:paraId="7C0DE298" w14:textId="77777777" w:rsidTr="00C52D06">
        <w:trPr>
          <w:trHeight w:val="315"/>
        </w:trPr>
        <w:tc>
          <w:tcPr>
            <w:tcW w:w="960" w:type="dxa"/>
            <w:tcBorders>
              <w:top w:val="nil"/>
              <w:left w:val="nil"/>
              <w:bottom w:val="single" w:sz="8" w:space="0" w:color="A6A6A6"/>
              <w:right w:val="nil"/>
            </w:tcBorders>
            <w:shd w:val="clear" w:color="auto" w:fill="auto"/>
            <w:noWrap/>
            <w:vAlign w:val="center"/>
            <w:hideMark/>
          </w:tcPr>
          <w:p w14:paraId="584E3D58" w14:textId="77777777" w:rsidR="00C271AB" w:rsidRPr="00C52D06" w:rsidRDefault="00C271AB" w:rsidP="00C271AB">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3200001</w:t>
            </w:r>
          </w:p>
        </w:tc>
        <w:tc>
          <w:tcPr>
            <w:tcW w:w="3760" w:type="dxa"/>
            <w:tcBorders>
              <w:top w:val="nil"/>
              <w:left w:val="nil"/>
              <w:bottom w:val="single" w:sz="8" w:space="0" w:color="A6A6A6"/>
              <w:right w:val="nil"/>
            </w:tcBorders>
            <w:shd w:val="clear" w:color="auto" w:fill="auto"/>
            <w:noWrap/>
            <w:vAlign w:val="center"/>
            <w:hideMark/>
          </w:tcPr>
          <w:p w14:paraId="4C94447E"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6F146259"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Right hemicolectomy with formation of stoma</w:t>
            </w:r>
          </w:p>
        </w:tc>
      </w:tr>
      <w:tr w:rsidR="00C271AB" w:rsidRPr="00C271AB" w14:paraId="51D30D01" w14:textId="77777777" w:rsidTr="00C52D06">
        <w:trPr>
          <w:trHeight w:val="315"/>
        </w:trPr>
        <w:tc>
          <w:tcPr>
            <w:tcW w:w="960" w:type="dxa"/>
            <w:tcBorders>
              <w:top w:val="nil"/>
              <w:left w:val="nil"/>
              <w:bottom w:val="single" w:sz="8" w:space="0" w:color="A6A6A6"/>
              <w:right w:val="nil"/>
            </w:tcBorders>
            <w:shd w:val="clear" w:color="auto" w:fill="auto"/>
            <w:noWrap/>
            <w:vAlign w:val="center"/>
            <w:hideMark/>
          </w:tcPr>
          <w:p w14:paraId="3BBAE192" w14:textId="77777777" w:rsidR="00C271AB" w:rsidRPr="00C52D06" w:rsidRDefault="00C271AB" w:rsidP="00C271AB">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3200300</w:t>
            </w:r>
          </w:p>
        </w:tc>
        <w:tc>
          <w:tcPr>
            <w:tcW w:w="3760" w:type="dxa"/>
            <w:tcBorders>
              <w:top w:val="nil"/>
              <w:left w:val="nil"/>
              <w:bottom w:val="single" w:sz="8" w:space="0" w:color="A6A6A6"/>
              <w:right w:val="nil"/>
            </w:tcBorders>
            <w:shd w:val="clear" w:color="auto" w:fill="auto"/>
            <w:noWrap/>
            <w:vAlign w:val="center"/>
            <w:hideMark/>
          </w:tcPr>
          <w:p w14:paraId="0B6C7DBA"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5C1FFA52"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Limited excision of large intestine with anastomosis</w:t>
            </w:r>
          </w:p>
        </w:tc>
      </w:tr>
      <w:tr w:rsidR="00C271AB" w:rsidRPr="00C271AB" w14:paraId="7F091943" w14:textId="77777777" w:rsidTr="00C52D06">
        <w:trPr>
          <w:trHeight w:val="315"/>
        </w:trPr>
        <w:tc>
          <w:tcPr>
            <w:tcW w:w="960" w:type="dxa"/>
            <w:tcBorders>
              <w:top w:val="nil"/>
              <w:left w:val="nil"/>
              <w:bottom w:val="single" w:sz="8" w:space="0" w:color="A6A6A6"/>
              <w:right w:val="nil"/>
            </w:tcBorders>
            <w:shd w:val="clear" w:color="auto" w:fill="auto"/>
            <w:noWrap/>
            <w:vAlign w:val="center"/>
            <w:hideMark/>
          </w:tcPr>
          <w:p w14:paraId="28A6CAD0" w14:textId="77777777" w:rsidR="00C271AB" w:rsidRPr="00C52D06" w:rsidRDefault="00C271AB" w:rsidP="00C271AB">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3200301</w:t>
            </w:r>
          </w:p>
        </w:tc>
        <w:tc>
          <w:tcPr>
            <w:tcW w:w="3760" w:type="dxa"/>
            <w:tcBorders>
              <w:top w:val="nil"/>
              <w:left w:val="nil"/>
              <w:bottom w:val="single" w:sz="8" w:space="0" w:color="A6A6A6"/>
              <w:right w:val="nil"/>
            </w:tcBorders>
            <w:shd w:val="clear" w:color="auto" w:fill="auto"/>
            <w:noWrap/>
            <w:vAlign w:val="center"/>
            <w:hideMark/>
          </w:tcPr>
          <w:p w14:paraId="21BF532C"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43E68F02"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Right hemicolectomy with anastomosis</w:t>
            </w:r>
          </w:p>
        </w:tc>
      </w:tr>
      <w:tr w:rsidR="00C271AB" w:rsidRPr="00C271AB" w14:paraId="54B4FB88" w14:textId="77777777" w:rsidTr="00C52D06">
        <w:trPr>
          <w:trHeight w:val="315"/>
        </w:trPr>
        <w:tc>
          <w:tcPr>
            <w:tcW w:w="960" w:type="dxa"/>
            <w:tcBorders>
              <w:top w:val="nil"/>
              <w:left w:val="nil"/>
              <w:bottom w:val="single" w:sz="8" w:space="0" w:color="A6A6A6"/>
              <w:right w:val="nil"/>
            </w:tcBorders>
            <w:shd w:val="clear" w:color="auto" w:fill="auto"/>
            <w:noWrap/>
            <w:vAlign w:val="center"/>
            <w:hideMark/>
          </w:tcPr>
          <w:p w14:paraId="1B1B21DE" w14:textId="77777777" w:rsidR="00C271AB" w:rsidRPr="00C52D06" w:rsidRDefault="00C271AB" w:rsidP="00C271AB">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3200400</w:t>
            </w:r>
          </w:p>
        </w:tc>
        <w:tc>
          <w:tcPr>
            <w:tcW w:w="3760" w:type="dxa"/>
            <w:tcBorders>
              <w:top w:val="nil"/>
              <w:left w:val="nil"/>
              <w:bottom w:val="single" w:sz="8" w:space="0" w:color="A6A6A6"/>
              <w:right w:val="nil"/>
            </w:tcBorders>
            <w:shd w:val="clear" w:color="auto" w:fill="auto"/>
            <w:noWrap/>
            <w:vAlign w:val="center"/>
            <w:hideMark/>
          </w:tcPr>
          <w:p w14:paraId="7AEF054E"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3EAB825D"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Subtotal colectomy with formation of stoma</w:t>
            </w:r>
          </w:p>
        </w:tc>
      </w:tr>
      <w:tr w:rsidR="00C271AB" w:rsidRPr="00C271AB" w14:paraId="14B6C879" w14:textId="77777777" w:rsidTr="00C52D06">
        <w:trPr>
          <w:trHeight w:val="315"/>
        </w:trPr>
        <w:tc>
          <w:tcPr>
            <w:tcW w:w="960" w:type="dxa"/>
            <w:tcBorders>
              <w:top w:val="nil"/>
              <w:left w:val="nil"/>
              <w:bottom w:val="single" w:sz="8" w:space="0" w:color="A6A6A6"/>
              <w:right w:val="nil"/>
            </w:tcBorders>
            <w:shd w:val="clear" w:color="auto" w:fill="auto"/>
            <w:noWrap/>
            <w:vAlign w:val="center"/>
            <w:hideMark/>
          </w:tcPr>
          <w:p w14:paraId="3E2270C4" w14:textId="77777777" w:rsidR="00C271AB" w:rsidRPr="00C52D06" w:rsidRDefault="00C271AB" w:rsidP="00C271AB">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3200401</w:t>
            </w:r>
          </w:p>
        </w:tc>
        <w:tc>
          <w:tcPr>
            <w:tcW w:w="3760" w:type="dxa"/>
            <w:tcBorders>
              <w:top w:val="nil"/>
              <w:left w:val="nil"/>
              <w:bottom w:val="single" w:sz="8" w:space="0" w:color="A6A6A6"/>
              <w:right w:val="nil"/>
            </w:tcBorders>
            <w:shd w:val="clear" w:color="auto" w:fill="auto"/>
            <w:noWrap/>
            <w:vAlign w:val="center"/>
            <w:hideMark/>
          </w:tcPr>
          <w:p w14:paraId="4A4CD94F"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013977D5"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Extended right hemicolectomy with formation of stoma</w:t>
            </w:r>
          </w:p>
        </w:tc>
      </w:tr>
      <w:tr w:rsidR="00C271AB" w:rsidRPr="00C271AB" w14:paraId="699A0809" w14:textId="77777777" w:rsidTr="00C52D06">
        <w:trPr>
          <w:trHeight w:val="315"/>
        </w:trPr>
        <w:tc>
          <w:tcPr>
            <w:tcW w:w="960" w:type="dxa"/>
            <w:tcBorders>
              <w:top w:val="nil"/>
              <w:left w:val="nil"/>
              <w:bottom w:val="single" w:sz="8" w:space="0" w:color="A6A6A6"/>
              <w:right w:val="nil"/>
            </w:tcBorders>
            <w:shd w:val="clear" w:color="auto" w:fill="auto"/>
            <w:noWrap/>
            <w:vAlign w:val="center"/>
            <w:hideMark/>
          </w:tcPr>
          <w:p w14:paraId="4335963C" w14:textId="77777777" w:rsidR="00C271AB" w:rsidRPr="00C52D06" w:rsidRDefault="00C271AB" w:rsidP="00C271AB">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3200500</w:t>
            </w:r>
          </w:p>
        </w:tc>
        <w:tc>
          <w:tcPr>
            <w:tcW w:w="3760" w:type="dxa"/>
            <w:tcBorders>
              <w:top w:val="nil"/>
              <w:left w:val="nil"/>
              <w:bottom w:val="single" w:sz="8" w:space="0" w:color="A6A6A6"/>
              <w:right w:val="nil"/>
            </w:tcBorders>
            <w:shd w:val="clear" w:color="auto" w:fill="auto"/>
            <w:noWrap/>
            <w:vAlign w:val="center"/>
            <w:hideMark/>
          </w:tcPr>
          <w:p w14:paraId="79D15DB0"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70042205"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Subtotal colectomy with anastomosis</w:t>
            </w:r>
          </w:p>
        </w:tc>
      </w:tr>
      <w:tr w:rsidR="00C271AB" w:rsidRPr="00C271AB" w14:paraId="5F3DF76C" w14:textId="77777777" w:rsidTr="00C52D06">
        <w:trPr>
          <w:trHeight w:val="315"/>
        </w:trPr>
        <w:tc>
          <w:tcPr>
            <w:tcW w:w="960" w:type="dxa"/>
            <w:tcBorders>
              <w:top w:val="nil"/>
              <w:left w:val="nil"/>
              <w:bottom w:val="single" w:sz="8" w:space="0" w:color="A6A6A6"/>
              <w:right w:val="nil"/>
            </w:tcBorders>
            <w:shd w:val="clear" w:color="auto" w:fill="auto"/>
            <w:noWrap/>
            <w:vAlign w:val="center"/>
            <w:hideMark/>
          </w:tcPr>
          <w:p w14:paraId="5533229A" w14:textId="77777777" w:rsidR="00C271AB" w:rsidRPr="00C52D06" w:rsidRDefault="00C271AB" w:rsidP="00C271AB">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3200501</w:t>
            </w:r>
          </w:p>
        </w:tc>
        <w:tc>
          <w:tcPr>
            <w:tcW w:w="3760" w:type="dxa"/>
            <w:tcBorders>
              <w:top w:val="nil"/>
              <w:left w:val="nil"/>
              <w:bottom w:val="single" w:sz="8" w:space="0" w:color="A6A6A6"/>
              <w:right w:val="nil"/>
            </w:tcBorders>
            <w:shd w:val="clear" w:color="auto" w:fill="auto"/>
            <w:noWrap/>
            <w:vAlign w:val="center"/>
            <w:hideMark/>
          </w:tcPr>
          <w:p w14:paraId="25C345EA"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4F5DDEED"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Extended right hemicolectomy with anastomosis</w:t>
            </w:r>
          </w:p>
        </w:tc>
      </w:tr>
      <w:tr w:rsidR="00C271AB" w:rsidRPr="00C271AB" w14:paraId="789E9703" w14:textId="77777777" w:rsidTr="00C52D06">
        <w:trPr>
          <w:trHeight w:val="315"/>
        </w:trPr>
        <w:tc>
          <w:tcPr>
            <w:tcW w:w="960" w:type="dxa"/>
            <w:tcBorders>
              <w:top w:val="nil"/>
              <w:left w:val="nil"/>
              <w:bottom w:val="single" w:sz="8" w:space="0" w:color="A6A6A6"/>
              <w:right w:val="nil"/>
            </w:tcBorders>
            <w:shd w:val="clear" w:color="auto" w:fill="auto"/>
            <w:noWrap/>
            <w:vAlign w:val="center"/>
            <w:hideMark/>
          </w:tcPr>
          <w:p w14:paraId="6749D574" w14:textId="77777777" w:rsidR="00C271AB" w:rsidRPr="00C52D06" w:rsidRDefault="00C271AB" w:rsidP="00C271AB">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3200600</w:t>
            </w:r>
          </w:p>
        </w:tc>
        <w:tc>
          <w:tcPr>
            <w:tcW w:w="3760" w:type="dxa"/>
            <w:tcBorders>
              <w:top w:val="nil"/>
              <w:left w:val="nil"/>
              <w:bottom w:val="single" w:sz="8" w:space="0" w:color="A6A6A6"/>
              <w:right w:val="nil"/>
            </w:tcBorders>
            <w:shd w:val="clear" w:color="auto" w:fill="auto"/>
            <w:noWrap/>
            <w:vAlign w:val="center"/>
            <w:hideMark/>
          </w:tcPr>
          <w:p w14:paraId="168EC093"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7D7E7D6C"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Left hemicolectomy with anastomosis</w:t>
            </w:r>
          </w:p>
        </w:tc>
      </w:tr>
      <w:tr w:rsidR="00C271AB" w:rsidRPr="00C271AB" w14:paraId="1F7D1FE3" w14:textId="77777777" w:rsidTr="00C52D06">
        <w:trPr>
          <w:trHeight w:val="315"/>
        </w:trPr>
        <w:tc>
          <w:tcPr>
            <w:tcW w:w="960" w:type="dxa"/>
            <w:tcBorders>
              <w:top w:val="nil"/>
              <w:left w:val="nil"/>
              <w:bottom w:val="single" w:sz="8" w:space="0" w:color="A6A6A6"/>
              <w:right w:val="nil"/>
            </w:tcBorders>
            <w:shd w:val="clear" w:color="auto" w:fill="auto"/>
            <w:noWrap/>
            <w:vAlign w:val="center"/>
            <w:hideMark/>
          </w:tcPr>
          <w:p w14:paraId="771434D0" w14:textId="77777777" w:rsidR="00C271AB" w:rsidRPr="00C52D06" w:rsidRDefault="00C271AB" w:rsidP="00C271AB">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3200601</w:t>
            </w:r>
          </w:p>
        </w:tc>
        <w:tc>
          <w:tcPr>
            <w:tcW w:w="3760" w:type="dxa"/>
            <w:tcBorders>
              <w:top w:val="nil"/>
              <w:left w:val="nil"/>
              <w:bottom w:val="single" w:sz="8" w:space="0" w:color="A6A6A6"/>
              <w:right w:val="nil"/>
            </w:tcBorders>
            <w:shd w:val="clear" w:color="auto" w:fill="auto"/>
            <w:noWrap/>
            <w:vAlign w:val="center"/>
            <w:hideMark/>
          </w:tcPr>
          <w:p w14:paraId="5D3B10F6"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3E06A1E2"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Left hemicolectomy with formation of stoma</w:t>
            </w:r>
          </w:p>
        </w:tc>
      </w:tr>
      <w:tr w:rsidR="00C271AB" w:rsidRPr="00C271AB" w14:paraId="1DED17C4" w14:textId="77777777" w:rsidTr="00C52D06">
        <w:trPr>
          <w:trHeight w:val="315"/>
        </w:trPr>
        <w:tc>
          <w:tcPr>
            <w:tcW w:w="960" w:type="dxa"/>
            <w:tcBorders>
              <w:top w:val="nil"/>
              <w:left w:val="nil"/>
              <w:bottom w:val="single" w:sz="8" w:space="0" w:color="A6A6A6"/>
              <w:right w:val="nil"/>
            </w:tcBorders>
            <w:shd w:val="clear" w:color="auto" w:fill="auto"/>
            <w:noWrap/>
            <w:vAlign w:val="center"/>
            <w:hideMark/>
          </w:tcPr>
          <w:p w14:paraId="1E3D1791" w14:textId="77777777" w:rsidR="00C271AB" w:rsidRPr="00C52D06" w:rsidRDefault="00C271AB" w:rsidP="00C271AB">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3200900</w:t>
            </w:r>
          </w:p>
        </w:tc>
        <w:tc>
          <w:tcPr>
            <w:tcW w:w="3760" w:type="dxa"/>
            <w:tcBorders>
              <w:top w:val="nil"/>
              <w:left w:val="nil"/>
              <w:bottom w:val="single" w:sz="8" w:space="0" w:color="A6A6A6"/>
              <w:right w:val="nil"/>
            </w:tcBorders>
            <w:shd w:val="clear" w:color="auto" w:fill="auto"/>
            <w:noWrap/>
            <w:vAlign w:val="center"/>
            <w:hideMark/>
          </w:tcPr>
          <w:p w14:paraId="28BDCFD2"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14DA8355"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colectomy with ileostomy</w:t>
            </w:r>
          </w:p>
        </w:tc>
      </w:tr>
      <w:tr w:rsidR="00C271AB" w:rsidRPr="00C271AB" w14:paraId="39452AE0" w14:textId="77777777" w:rsidTr="00C52D06">
        <w:trPr>
          <w:trHeight w:val="315"/>
        </w:trPr>
        <w:tc>
          <w:tcPr>
            <w:tcW w:w="960" w:type="dxa"/>
            <w:tcBorders>
              <w:top w:val="nil"/>
              <w:left w:val="nil"/>
              <w:bottom w:val="single" w:sz="8" w:space="0" w:color="A6A6A6"/>
              <w:right w:val="nil"/>
            </w:tcBorders>
            <w:shd w:val="clear" w:color="auto" w:fill="auto"/>
            <w:noWrap/>
            <w:vAlign w:val="center"/>
            <w:hideMark/>
          </w:tcPr>
          <w:p w14:paraId="2BB58369" w14:textId="77777777" w:rsidR="00C271AB" w:rsidRPr="00C52D06" w:rsidRDefault="00C271AB" w:rsidP="00C271AB">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3201200</w:t>
            </w:r>
          </w:p>
        </w:tc>
        <w:tc>
          <w:tcPr>
            <w:tcW w:w="3760" w:type="dxa"/>
            <w:tcBorders>
              <w:top w:val="nil"/>
              <w:left w:val="nil"/>
              <w:bottom w:val="single" w:sz="8" w:space="0" w:color="A6A6A6"/>
              <w:right w:val="nil"/>
            </w:tcBorders>
            <w:shd w:val="clear" w:color="auto" w:fill="auto"/>
            <w:noWrap/>
            <w:vAlign w:val="center"/>
            <w:hideMark/>
          </w:tcPr>
          <w:p w14:paraId="6D7F1860"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3FD714C9"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colectomy with ileorectal anastomosis</w:t>
            </w:r>
          </w:p>
        </w:tc>
      </w:tr>
      <w:tr w:rsidR="00C271AB" w:rsidRPr="00C271AB" w14:paraId="300D99C0" w14:textId="77777777" w:rsidTr="00C52D06">
        <w:trPr>
          <w:trHeight w:val="315"/>
        </w:trPr>
        <w:tc>
          <w:tcPr>
            <w:tcW w:w="960" w:type="dxa"/>
            <w:tcBorders>
              <w:top w:val="nil"/>
              <w:left w:val="nil"/>
              <w:bottom w:val="single" w:sz="8" w:space="0" w:color="A6A6A6"/>
              <w:right w:val="nil"/>
            </w:tcBorders>
            <w:shd w:val="clear" w:color="auto" w:fill="auto"/>
            <w:noWrap/>
            <w:vAlign w:val="center"/>
            <w:hideMark/>
          </w:tcPr>
          <w:p w14:paraId="2D8AB4A2" w14:textId="77777777" w:rsidR="00C271AB" w:rsidRPr="00C52D06" w:rsidRDefault="00C271AB" w:rsidP="00C271AB">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3201500</w:t>
            </w:r>
          </w:p>
        </w:tc>
        <w:tc>
          <w:tcPr>
            <w:tcW w:w="3760" w:type="dxa"/>
            <w:tcBorders>
              <w:top w:val="nil"/>
              <w:left w:val="nil"/>
              <w:bottom w:val="single" w:sz="8" w:space="0" w:color="A6A6A6"/>
              <w:right w:val="nil"/>
            </w:tcBorders>
            <w:shd w:val="clear" w:color="auto" w:fill="auto"/>
            <w:noWrap/>
            <w:vAlign w:val="center"/>
            <w:hideMark/>
          </w:tcPr>
          <w:p w14:paraId="3D407BD9"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w:t>
            </w:r>
          </w:p>
        </w:tc>
        <w:tc>
          <w:tcPr>
            <w:tcW w:w="4631" w:type="dxa"/>
            <w:tcBorders>
              <w:top w:val="nil"/>
              <w:left w:val="nil"/>
              <w:bottom w:val="single" w:sz="8" w:space="0" w:color="A6A6A6"/>
              <w:right w:val="nil"/>
            </w:tcBorders>
            <w:shd w:val="clear" w:color="auto" w:fill="auto"/>
            <w:noWrap/>
            <w:vAlign w:val="center"/>
            <w:hideMark/>
          </w:tcPr>
          <w:p w14:paraId="6DDC1B3B"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 with ileostomy</w:t>
            </w:r>
          </w:p>
        </w:tc>
      </w:tr>
      <w:tr w:rsidR="00C271AB" w:rsidRPr="00C271AB" w14:paraId="56A08B82" w14:textId="77777777" w:rsidTr="00C52D06">
        <w:trPr>
          <w:trHeight w:val="315"/>
        </w:trPr>
        <w:tc>
          <w:tcPr>
            <w:tcW w:w="960" w:type="dxa"/>
            <w:tcBorders>
              <w:top w:val="nil"/>
              <w:left w:val="nil"/>
              <w:bottom w:val="single" w:sz="8" w:space="0" w:color="A6A6A6"/>
              <w:right w:val="nil"/>
            </w:tcBorders>
            <w:shd w:val="clear" w:color="auto" w:fill="auto"/>
            <w:noWrap/>
            <w:vAlign w:val="center"/>
            <w:hideMark/>
          </w:tcPr>
          <w:p w14:paraId="14D02335" w14:textId="77777777" w:rsidR="00C271AB" w:rsidRPr="00C52D06" w:rsidRDefault="00C271AB" w:rsidP="00C271AB">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3202400</w:t>
            </w:r>
          </w:p>
        </w:tc>
        <w:tc>
          <w:tcPr>
            <w:tcW w:w="3760" w:type="dxa"/>
            <w:tcBorders>
              <w:top w:val="nil"/>
              <w:left w:val="nil"/>
              <w:bottom w:val="single" w:sz="8" w:space="0" w:color="A6A6A6"/>
              <w:right w:val="nil"/>
            </w:tcBorders>
            <w:shd w:val="clear" w:color="auto" w:fill="auto"/>
            <w:noWrap/>
            <w:vAlign w:val="center"/>
            <w:hideMark/>
          </w:tcPr>
          <w:p w14:paraId="0FE37489"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23FA5BCD"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High anterior resection of rectum</w:t>
            </w:r>
          </w:p>
        </w:tc>
      </w:tr>
      <w:tr w:rsidR="00C271AB" w:rsidRPr="00C271AB" w14:paraId="438A60A3" w14:textId="77777777" w:rsidTr="00C52D06">
        <w:trPr>
          <w:trHeight w:val="315"/>
        </w:trPr>
        <w:tc>
          <w:tcPr>
            <w:tcW w:w="960" w:type="dxa"/>
            <w:tcBorders>
              <w:top w:val="nil"/>
              <w:left w:val="nil"/>
              <w:bottom w:val="single" w:sz="8" w:space="0" w:color="A6A6A6"/>
              <w:right w:val="nil"/>
            </w:tcBorders>
            <w:shd w:val="clear" w:color="auto" w:fill="auto"/>
            <w:noWrap/>
            <w:vAlign w:val="center"/>
            <w:hideMark/>
          </w:tcPr>
          <w:p w14:paraId="6814D15E" w14:textId="77777777" w:rsidR="00C271AB" w:rsidRPr="00C52D06" w:rsidRDefault="00C271AB" w:rsidP="00C271AB">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3202500</w:t>
            </w:r>
          </w:p>
        </w:tc>
        <w:tc>
          <w:tcPr>
            <w:tcW w:w="3760" w:type="dxa"/>
            <w:tcBorders>
              <w:top w:val="nil"/>
              <w:left w:val="nil"/>
              <w:bottom w:val="single" w:sz="8" w:space="0" w:color="A6A6A6"/>
              <w:right w:val="nil"/>
            </w:tcBorders>
            <w:shd w:val="clear" w:color="auto" w:fill="auto"/>
            <w:noWrap/>
            <w:vAlign w:val="center"/>
            <w:hideMark/>
          </w:tcPr>
          <w:p w14:paraId="01B0E682"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7A87B728"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Low anterior resection of rectum</w:t>
            </w:r>
          </w:p>
        </w:tc>
      </w:tr>
      <w:tr w:rsidR="00C271AB" w:rsidRPr="00C271AB" w14:paraId="7C32FF04" w14:textId="77777777" w:rsidTr="00C52D06">
        <w:trPr>
          <w:trHeight w:val="315"/>
        </w:trPr>
        <w:tc>
          <w:tcPr>
            <w:tcW w:w="960" w:type="dxa"/>
            <w:tcBorders>
              <w:top w:val="nil"/>
              <w:left w:val="nil"/>
              <w:bottom w:val="single" w:sz="8" w:space="0" w:color="A6A6A6"/>
              <w:right w:val="nil"/>
            </w:tcBorders>
            <w:shd w:val="clear" w:color="auto" w:fill="auto"/>
            <w:noWrap/>
            <w:vAlign w:val="center"/>
            <w:hideMark/>
          </w:tcPr>
          <w:p w14:paraId="2EAA155F" w14:textId="77777777" w:rsidR="00C271AB" w:rsidRPr="00C52D06" w:rsidRDefault="00C271AB" w:rsidP="00C271AB">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3202600</w:t>
            </w:r>
          </w:p>
        </w:tc>
        <w:tc>
          <w:tcPr>
            <w:tcW w:w="3760" w:type="dxa"/>
            <w:tcBorders>
              <w:top w:val="nil"/>
              <w:left w:val="nil"/>
              <w:bottom w:val="single" w:sz="8" w:space="0" w:color="A6A6A6"/>
              <w:right w:val="nil"/>
            </w:tcBorders>
            <w:shd w:val="clear" w:color="auto" w:fill="auto"/>
            <w:noWrap/>
            <w:vAlign w:val="center"/>
            <w:hideMark/>
          </w:tcPr>
          <w:p w14:paraId="4E02B447"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58CAEEAB"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Ultra low anterior resection of rectum</w:t>
            </w:r>
          </w:p>
        </w:tc>
      </w:tr>
      <w:tr w:rsidR="00C271AB" w:rsidRPr="00C271AB" w14:paraId="30C5B398" w14:textId="77777777" w:rsidTr="00C52D06">
        <w:trPr>
          <w:trHeight w:val="315"/>
        </w:trPr>
        <w:tc>
          <w:tcPr>
            <w:tcW w:w="960" w:type="dxa"/>
            <w:tcBorders>
              <w:top w:val="nil"/>
              <w:left w:val="nil"/>
              <w:bottom w:val="single" w:sz="8" w:space="0" w:color="A6A6A6"/>
              <w:right w:val="nil"/>
            </w:tcBorders>
            <w:shd w:val="clear" w:color="auto" w:fill="auto"/>
            <w:noWrap/>
            <w:vAlign w:val="center"/>
            <w:hideMark/>
          </w:tcPr>
          <w:p w14:paraId="4B6E480B" w14:textId="77777777" w:rsidR="00C271AB" w:rsidRPr="00C52D06" w:rsidRDefault="00C271AB" w:rsidP="00C271AB">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3202800</w:t>
            </w:r>
          </w:p>
        </w:tc>
        <w:tc>
          <w:tcPr>
            <w:tcW w:w="3760" w:type="dxa"/>
            <w:tcBorders>
              <w:top w:val="nil"/>
              <w:left w:val="nil"/>
              <w:bottom w:val="single" w:sz="8" w:space="0" w:color="A6A6A6"/>
              <w:right w:val="nil"/>
            </w:tcBorders>
            <w:shd w:val="clear" w:color="auto" w:fill="auto"/>
            <w:noWrap/>
            <w:vAlign w:val="center"/>
            <w:hideMark/>
          </w:tcPr>
          <w:p w14:paraId="60CEB71E"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7553F407"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Ultra low anterior resection of rectum with hand sutured coloanal anastomosis</w:t>
            </w:r>
          </w:p>
        </w:tc>
      </w:tr>
      <w:tr w:rsidR="00C271AB" w:rsidRPr="00C271AB" w14:paraId="5A62BBDB" w14:textId="77777777" w:rsidTr="00C52D06">
        <w:trPr>
          <w:trHeight w:val="315"/>
        </w:trPr>
        <w:tc>
          <w:tcPr>
            <w:tcW w:w="960" w:type="dxa"/>
            <w:tcBorders>
              <w:top w:val="nil"/>
              <w:left w:val="nil"/>
              <w:bottom w:val="single" w:sz="8" w:space="0" w:color="A6A6A6"/>
              <w:right w:val="nil"/>
            </w:tcBorders>
            <w:shd w:val="clear" w:color="auto" w:fill="auto"/>
            <w:noWrap/>
            <w:vAlign w:val="center"/>
            <w:hideMark/>
          </w:tcPr>
          <w:p w14:paraId="2B879C38" w14:textId="77777777" w:rsidR="00C271AB" w:rsidRPr="00C52D06" w:rsidRDefault="00C271AB" w:rsidP="00C271AB">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3203000</w:t>
            </w:r>
          </w:p>
        </w:tc>
        <w:tc>
          <w:tcPr>
            <w:tcW w:w="3760" w:type="dxa"/>
            <w:tcBorders>
              <w:top w:val="nil"/>
              <w:left w:val="nil"/>
              <w:bottom w:val="single" w:sz="8" w:space="0" w:color="A6A6A6"/>
              <w:right w:val="nil"/>
            </w:tcBorders>
            <w:shd w:val="clear" w:color="auto" w:fill="auto"/>
            <w:noWrap/>
            <w:vAlign w:val="center"/>
            <w:hideMark/>
          </w:tcPr>
          <w:p w14:paraId="0C80ED8F"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492638ED"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with formation of stoma</w:t>
            </w:r>
          </w:p>
        </w:tc>
      </w:tr>
      <w:tr w:rsidR="00C271AB" w:rsidRPr="00C271AB" w14:paraId="63C0DDC9" w14:textId="77777777" w:rsidTr="00C52D06">
        <w:trPr>
          <w:trHeight w:val="315"/>
        </w:trPr>
        <w:tc>
          <w:tcPr>
            <w:tcW w:w="960" w:type="dxa"/>
            <w:tcBorders>
              <w:top w:val="nil"/>
              <w:left w:val="nil"/>
              <w:bottom w:val="single" w:sz="8" w:space="0" w:color="A6A6A6"/>
              <w:right w:val="nil"/>
            </w:tcBorders>
            <w:shd w:val="clear" w:color="auto" w:fill="auto"/>
            <w:noWrap/>
            <w:vAlign w:val="center"/>
            <w:hideMark/>
          </w:tcPr>
          <w:p w14:paraId="18CD9FA5" w14:textId="77777777" w:rsidR="00C271AB" w:rsidRPr="00C52D06" w:rsidRDefault="00C271AB" w:rsidP="00C271AB">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3203900</w:t>
            </w:r>
          </w:p>
        </w:tc>
        <w:tc>
          <w:tcPr>
            <w:tcW w:w="3760" w:type="dxa"/>
            <w:tcBorders>
              <w:top w:val="nil"/>
              <w:left w:val="nil"/>
              <w:bottom w:val="single" w:sz="8" w:space="0" w:color="A6A6A6"/>
              <w:right w:val="nil"/>
            </w:tcBorders>
            <w:shd w:val="clear" w:color="auto" w:fill="auto"/>
            <w:noWrap/>
            <w:vAlign w:val="center"/>
            <w:hideMark/>
          </w:tcPr>
          <w:p w14:paraId="237243AD"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719B094E"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Abdominoperineal proctectomy</w:t>
            </w:r>
          </w:p>
        </w:tc>
      </w:tr>
      <w:tr w:rsidR="00C271AB" w:rsidRPr="00C271AB" w14:paraId="6B5AFA9C" w14:textId="77777777" w:rsidTr="00C52D06">
        <w:trPr>
          <w:trHeight w:val="315"/>
        </w:trPr>
        <w:tc>
          <w:tcPr>
            <w:tcW w:w="960" w:type="dxa"/>
            <w:tcBorders>
              <w:top w:val="nil"/>
              <w:left w:val="nil"/>
              <w:bottom w:val="single" w:sz="8" w:space="0" w:color="A6A6A6"/>
              <w:right w:val="nil"/>
            </w:tcBorders>
            <w:shd w:val="clear" w:color="auto" w:fill="auto"/>
            <w:noWrap/>
            <w:vAlign w:val="center"/>
            <w:hideMark/>
          </w:tcPr>
          <w:p w14:paraId="790949F3" w14:textId="77777777" w:rsidR="00C271AB" w:rsidRPr="00C52D06" w:rsidRDefault="00C271AB" w:rsidP="00C271AB">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3205100</w:t>
            </w:r>
          </w:p>
        </w:tc>
        <w:tc>
          <w:tcPr>
            <w:tcW w:w="3760" w:type="dxa"/>
            <w:tcBorders>
              <w:top w:val="nil"/>
              <w:left w:val="nil"/>
              <w:bottom w:val="single" w:sz="8" w:space="0" w:color="A6A6A6"/>
              <w:right w:val="nil"/>
            </w:tcBorders>
            <w:shd w:val="clear" w:color="auto" w:fill="auto"/>
            <w:noWrap/>
            <w:vAlign w:val="center"/>
            <w:hideMark/>
          </w:tcPr>
          <w:p w14:paraId="7466D8A0"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w:t>
            </w:r>
          </w:p>
        </w:tc>
        <w:tc>
          <w:tcPr>
            <w:tcW w:w="4631" w:type="dxa"/>
            <w:tcBorders>
              <w:top w:val="nil"/>
              <w:left w:val="nil"/>
              <w:bottom w:val="single" w:sz="8" w:space="0" w:color="A6A6A6"/>
              <w:right w:val="nil"/>
            </w:tcBorders>
            <w:shd w:val="clear" w:color="auto" w:fill="auto"/>
            <w:noWrap/>
            <w:vAlign w:val="center"/>
            <w:hideMark/>
          </w:tcPr>
          <w:p w14:paraId="28915AF4"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 with ileo-anal anastomosis</w:t>
            </w:r>
          </w:p>
        </w:tc>
      </w:tr>
      <w:tr w:rsidR="00C271AB" w:rsidRPr="00C271AB" w14:paraId="6B9C9D1C" w14:textId="77777777" w:rsidTr="00C52D06">
        <w:trPr>
          <w:trHeight w:val="315"/>
        </w:trPr>
        <w:tc>
          <w:tcPr>
            <w:tcW w:w="960" w:type="dxa"/>
            <w:tcBorders>
              <w:top w:val="nil"/>
              <w:left w:val="nil"/>
              <w:bottom w:val="single" w:sz="8" w:space="0" w:color="A6A6A6"/>
              <w:right w:val="nil"/>
            </w:tcBorders>
            <w:shd w:val="clear" w:color="auto" w:fill="auto"/>
            <w:noWrap/>
            <w:vAlign w:val="center"/>
            <w:hideMark/>
          </w:tcPr>
          <w:p w14:paraId="1C4D26D0" w14:textId="77777777" w:rsidR="00C271AB" w:rsidRPr="00C52D06" w:rsidRDefault="00C271AB" w:rsidP="00C271AB">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3205101</w:t>
            </w:r>
          </w:p>
        </w:tc>
        <w:tc>
          <w:tcPr>
            <w:tcW w:w="3760" w:type="dxa"/>
            <w:tcBorders>
              <w:top w:val="nil"/>
              <w:left w:val="nil"/>
              <w:bottom w:val="single" w:sz="8" w:space="0" w:color="A6A6A6"/>
              <w:right w:val="nil"/>
            </w:tcBorders>
            <w:shd w:val="clear" w:color="auto" w:fill="auto"/>
            <w:noWrap/>
            <w:vAlign w:val="center"/>
            <w:hideMark/>
          </w:tcPr>
          <w:p w14:paraId="56D6C204"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w:t>
            </w:r>
          </w:p>
        </w:tc>
        <w:tc>
          <w:tcPr>
            <w:tcW w:w="4631" w:type="dxa"/>
            <w:tcBorders>
              <w:top w:val="nil"/>
              <w:left w:val="nil"/>
              <w:bottom w:val="single" w:sz="8" w:space="0" w:color="A6A6A6"/>
              <w:right w:val="nil"/>
            </w:tcBorders>
            <w:shd w:val="clear" w:color="auto" w:fill="auto"/>
            <w:noWrap/>
            <w:vAlign w:val="center"/>
            <w:hideMark/>
          </w:tcPr>
          <w:p w14:paraId="07DE0619"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 with ileo-anal anastomosis and formation of temporary ileostomy</w:t>
            </w:r>
          </w:p>
        </w:tc>
      </w:tr>
      <w:tr w:rsidR="00C271AB" w:rsidRPr="00C271AB" w14:paraId="10491958" w14:textId="77777777" w:rsidTr="00C52D06">
        <w:trPr>
          <w:trHeight w:val="315"/>
        </w:trPr>
        <w:tc>
          <w:tcPr>
            <w:tcW w:w="960" w:type="dxa"/>
            <w:tcBorders>
              <w:top w:val="nil"/>
              <w:left w:val="nil"/>
              <w:bottom w:val="single" w:sz="8" w:space="0" w:color="A6A6A6"/>
              <w:right w:val="nil"/>
            </w:tcBorders>
            <w:shd w:val="clear" w:color="auto" w:fill="auto"/>
            <w:noWrap/>
            <w:vAlign w:val="center"/>
            <w:hideMark/>
          </w:tcPr>
          <w:p w14:paraId="72442591" w14:textId="77777777" w:rsidR="00C271AB" w:rsidRPr="00C52D06" w:rsidRDefault="00C271AB" w:rsidP="00C271AB">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3206000</w:t>
            </w:r>
          </w:p>
        </w:tc>
        <w:tc>
          <w:tcPr>
            <w:tcW w:w="3760" w:type="dxa"/>
            <w:tcBorders>
              <w:top w:val="nil"/>
              <w:left w:val="nil"/>
              <w:bottom w:val="single" w:sz="8" w:space="0" w:color="A6A6A6"/>
              <w:right w:val="nil"/>
            </w:tcBorders>
            <w:shd w:val="clear" w:color="auto" w:fill="auto"/>
            <w:noWrap/>
            <w:vAlign w:val="center"/>
            <w:hideMark/>
          </w:tcPr>
          <w:p w14:paraId="3B62292E"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3FD2AD24"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Restorative proctectomy</w:t>
            </w:r>
          </w:p>
        </w:tc>
      </w:tr>
      <w:tr w:rsidR="00C271AB" w:rsidRPr="00C271AB" w14:paraId="4D705E90" w14:textId="77777777" w:rsidTr="00C52D06">
        <w:trPr>
          <w:trHeight w:val="315"/>
        </w:trPr>
        <w:tc>
          <w:tcPr>
            <w:tcW w:w="960" w:type="dxa"/>
            <w:tcBorders>
              <w:top w:val="nil"/>
              <w:left w:val="nil"/>
              <w:bottom w:val="single" w:sz="8" w:space="0" w:color="A6A6A6"/>
              <w:right w:val="nil"/>
            </w:tcBorders>
            <w:shd w:val="clear" w:color="auto" w:fill="auto"/>
            <w:noWrap/>
            <w:vAlign w:val="center"/>
            <w:hideMark/>
          </w:tcPr>
          <w:p w14:paraId="5F5E0196" w14:textId="77777777" w:rsidR="00C271AB" w:rsidRPr="00C52D06" w:rsidRDefault="00C271AB" w:rsidP="00C271AB">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3209900</w:t>
            </w:r>
          </w:p>
        </w:tc>
        <w:tc>
          <w:tcPr>
            <w:tcW w:w="3760" w:type="dxa"/>
            <w:tcBorders>
              <w:top w:val="nil"/>
              <w:left w:val="nil"/>
              <w:bottom w:val="single" w:sz="8" w:space="0" w:color="A6A6A6"/>
              <w:right w:val="nil"/>
            </w:tcBorders>
            <w:shd w:val="clear" w:color="auto" w:fill="auto"/>
            <w:noWrap/>
            <w:vAlign w:val="center"/>
            <w:hideMark/>
          </w:tcPr>
          <w:p w14:paraId="346FAF4F"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Excision of lesion or tissue of rectum or anus</w:t>
            </w:r>
          </w:p>
        </w:tc>
        <w:tc>
          <w:tcPr>
            <w:tcW w:w="4631" w:type="dxa"/>
            <w:tcBorders>
              <w:top w:val="nil"/>
              <w:left w:val="nil"/>
              <w:bottom w:val="single" w:sz="8" w:space="0" w:color="A6A6A6"/>
              <w:right w:val="nil"/>
            </w:tcBorders>
            <w:shd w:val="clear" w:color="auto" w:fill="auto"/>
            <w:noWrap/>
            <w:vAlign w:val="center"/>
            <w:hideMark/>
          </w:tcPr>
          <w:p w14:paraId="3BA53F0B"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Per anal submucosal excision of lesion or tissue of rectum</w:t>
            </w:r>
          </w:p>
        </w:tc>
      </w:tr>
      <w:tr w:rsidR="00C271AB" w:rsidRPr="00C271AB" w14:paraId="6CC92573" w14:textId="77777777" w:rsidTr="00C52D06">
        <w:trPr>
          <w:trHeight w:val="315"/>
        </w:trPr>
        <w:tc>
          <w:tcPr>
            <w:tcW w:w="960" w:type="dxa"/>
            <w:tcBorders>
              <w:top w:val="nil"/>
              <w:left w:val="nil"/>
              <w:bottom w:val="single" w:sz="8" w:space="0" w:color="A6A6A6"/>
              <w:right w:val="nil"/>
            </w:tcBorders>
            <w:shd w:val="clear" w:color="auto" w:fill="auto"/>
            <w:noWrap/>
            <w:vAlign w:val="center"/>
            <w:hideMark/>
          </w:tcPr>
          <w:p w14:paraId="6AE8A4C9" w14:textId="77777777" w:rsidR="00C271AB" w:rsidRPr="00C52D06" w:rsidRDefault="00C271AB" w:rsidP="00C271AB">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3211200</w:t>
            </w:r>
          </w:p>
        </w:tc>
        <w:tc>
          <w:tcPr>
            <w:tcW w:w="3760" w:type="dxa"/>
            <w:tcBorders>
              <w:top w:val="nil"/>
              <w:left w:val="nil"/>
              <w:bottom w:val="single" w:sz="8" w:space="0" w:color="A6A6A6"/>
              <w:right w:val="nil"/>
            </w:tcBorders>
            <w:shd w:val="clear" w:color="auto" w:fill="auto"/>
            <w:noWrap/>
            <w:vAlign w:val="center"/>
            <w:hideMark/>
          </w:tcPr>
          <w:p w14:paraId="7A069120"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68FA7E38"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Perineal rectosigmoidectomy</w:t>
            </w:r>
          </w:p>
        </w:tc>
      </w:tr>
      <w:tr w:rsidR="00C271AB" w:rsidRPr="00C271AB" w14:paraId="3204DDA2" w14:textId="77777777" w:rsidTr="00C52D06">
        <w:trPr>
          <w:trHeight w:val="315"/>
        </w:trPr>
        <w:tc>
          <w:tcPr>
            <w:tcW w:w="960" w:type="dxa"/>
            <w:tcBorders>
              <w:top w:val="nil"/>
              <w:left w:val="nil"/>
              <w:bottom w:val="single" w:sz="8" w:space="0" w:color="A6A6A6"/>
              <w:right w:val="nil"/>
            </w:tcBorders>
            <w:shd w:val="clear" w:color="auto" w:fill="auto"/>
            <w:noWrap/>
            <w:vAlign w:val="center"/>
            <w:hideMark/>
          </w:tcPr>
          <w:p w14:paraId="7BAE9752" w14:textId="77777777" w:rsidR="00C271AB" w:rsidRPr="00C52D06" w:rsidRDefault="00C271AB" w:rsidP="00C271AB">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9220800</w:t>
            </w:r>
          </w:p>
        </w:tc>
        <w:tc>
          <w:tcPr>
            <w:tcW w:w="3760" w:type="dxa"/>
            <w:tcBorders>
              <w:top w:val="nil"/>
              <w:left w:val="nil"/>
              <w:bottom w:val="single" w:sz="8" w:space="0" w:color="A6A6A6"/>
              <w:right w:val="nil"/>
            </w:tcBorders>
            <w:shd w:val="clear" w:color="auto" w:fill="auto"/>
            <w:noWrap/>
            <w:vAlign w:val="center"/>
            <w:hideMark/>
          </w:tcPr>
          <w:p w14:paraId="73F03061"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607CE25C" w14:textId="77777777" w:rsidR="00C271AB" w:rsidRPr="00C52D06" w:rsidRDefault="00C271AB" w:rsidP="00C271AB">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 level unspecified</w:t>
            </w:r>
          </w:p>
        </w:tc>
      </w:tr>
    </w:tbl>
    <w:p w14:paraId="33AED2A4" w14:textId="77777777" w:rsidR="008529AC" w:rsidRPr="008529AC" w:rsidRDefault="008529AC" w:rsidP="008529AC"/>
    <w:tbl>
      <w:tblPr>
        <w:tblW w:w="9351" w:type="dxa"/>
        <w:tblLook w:val="04A0" w:firstRow="1" w:lastRow="0" w:firstColumn="1" w:lastColumn="0" w:noHBand="0" w:noVBand="1"/>
      </w:tblPr>
      <w:tblGrid>
        <w:gridCol w:w="1320"/>
        <w:gridCol w:w="3820"/>
        <w:gridCol w:w="4211"/>
      </w:tblGrid>
      <w:tr w:rsidR="00C52D06" w:rsidRPr="00C52D06" w14:paraId="5D1076E9" w14:textId="77777777" w:rsidTr="00C52D06">
        <w:trPr>
          <w:trHeight w:val="300"/>
        </w:trPr>
        <w:tc>
          <w:tcPr>
            <w:tcW w:w="9351"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D562685" w14:textId="5169C6C1" w:rsidR="00C52D06" w:rsidRPr="00C52D06" w:rsidRDefault="00C52D06" w:rsidP="00C52D06">
            <w:pPr>
              <w:spacing w:after="0" w:line="240" w:lineRule="auto"/>
              <w:jc w:val="center"/>
              <w:rPr>
                <w:rFonts w:ascii="Segoe UI" w:eastAsia="Times New Roman" w:hAnsi="Segoe UI" w:cs="Segoe UI"/>
                <w:b/>
                <w:bCs/>
                <w:color w:val="000000"/>
                <w:sz w:val="18"/>
                <w:szCs w:val="20"/>
                <w:lang w:eastAsia="en-NZ"/>
              </w:rPr>
            </w:pPr>
            <w:r w:rsidRPr="00C52D06">
              <w:rPr>
                <w:rFonts w:ascii="Segoe UI" w:eastAsia="Times New Roman" w:hAnsi="Segoe UI" w:cs="Segoe UI"/>
                <w:b/>
                <w:bCs/>
                <w:color w:val="000000"/>
                <w:sz w:val="20"/>
                <w:szCs w:val="20"/>
                <w:lang w:eastAsia="en-NZ"/>
              </w:rPr>
              <w:t>LUNG CANCER SURGERY</w:t>
            </w:r>
          </w:p>
        </w:tc>
      </w:tr>
      <w:tr w:rsidR="00C52D06" w:rsidRPr="00C52D06" w14:paraId="77AFCD9F" w14:textId="77777777" w:rsidTr="00C52D06">
        <w:trPr>
          <w:trHeight w:val="300"/>
        </w:trPr>
        <w:tc>
          <w:tcPr>
            <w:tcW w:w="1320" w:type="dxa"/>
            <w:tcBorders>
              <w:top w:val="single" w:sz="4" w:space="0" w:color="auto"/>
              <w:left w:val="nil"/>
              <w:bottom w:val="nil"/>
              <w:right w:val="nil"/>
            </w:tcBorders>
            <w:shd w:val="clear" w:color="000000" w:fill="D9D9D9"/>
            <w:noWrap/>
            <w:vAlign w:val="center"/>
            <w:hideMark/>
          </w:tcPr>
          <w:p w14:paraId="468BFB00" w14:textId="77777777" w:rsidR="00C52D06" w:rsidRPr="00C52D06" w:rsidRDefault="00C52D06" w:rsidP="00C52D06">
            <w:pPr>
              <w:spacing w:after="0" w:line="240" w:lineRule="auto"/>
              <w:rPr>
                <w:rFonts w:ascii="Segoe UI" w:eastAsia="Times New Roman" w:hAnsi="Segoe UI" w:cs="Segoe UI"/>
                <w:bCs/>
                <w:color w:val="000000"/>
                <w:sz w:val="18"/>
                <w:szCs w:val="20"/>
                <w:lang w:eastAsia="en-NZ"/>
              </w:rPr>
            </w:pPr>
            <w:r w:rsidRPr="00C52D06">
              <w:rPr>
                <w:rFonts w:ascii="Segoe UI" w:eastAsia="Times New Roman" w:hAnsi="Segoe UI" w:cs="Segoe UI"/>
                <w:bCs/>
                <w:color w:val="000000"/>
                <w:sz w:val="18"/>
                <w:szCs w:val="20"/>
                <w:lang w:eastAsia="en-NZ"/>
              </w:rPr>
              <w:t>Clinical code</w:t>
            </w:r>
          </w:p>
        </w:tc>
        <w:tc>
          <w:tcPr>
            <w:tcW w:w="3820" w:type="dxa"/>
            <w:tcBorders>
              <w:top w:val="single" w:sz="4" w:space="0" w:color="auto"/>
              <w:left w:val="nil"/>
              <w:bottom w:val="nil"/>
              <w:right w:val="nil"/>
            </w:tcBorders>
            <w:shd w:val="clear" w:color="000000" w:fill="D9D9D9"/>
            <w:noWrap/>
            <w:vAlign w:val="center"/>
            <w:hideMark/>
          </w:tcPr>
          <w:p w14:paraId="03290AF1" w14:textId="77777777" w:rsidR="00C52D06" w:rsidRPr="00C52D06" w:rsidRDefault="00C52D06" w:rsidP="00C52D06">
            <w:pPr>
              <w:spacing w:after="0" w:line="240" w:lineRule="auto"/>
              <w:rPr>
                <w:rFonts w:ascii="Segoe UI" w:eastAsia="Times New Roman" w:hAnsi="Segoe UI" w:cs="Segoe UI"/>
                <w:bCs/>
                <w:color w:val="000000"/>
                <w:sz w:val="18"/>
                <w:szCs w:val="20"/>
                <w:lang w:eastAsia="en-NZ"/>
              </w:rPr>
            </w:pPr>
            <w:r w:rsidRPr="00C52D06">
              <w:rPr>
                <w:rFonts w:ascii="Segoe UI" w:eastAsia="Times New Roman" w:hAnsi="Segoe UI" w:cs="Segoe UI"/>
                <w:bCs/>
                <w:color w:val="000000"/>
                <w:sz w:val="18"/>
                <w:szCs w:val="20"/>
                <w:lang w:eastAsia="en-NZ"/>
              </w:rPr>
              <w:t>Clinical code description</w:t>
            </w:r>
          </w:p>
        </w:tc>
        <w:tc>
          <w:tcPr>
            <w:tcW w:w="4211" w:type="dxa"/>
            <w:tcBorders>
              <w:top w:val="single" w:sz="4" w:space="0" w:color="auto"/>
              <w:left w:val="nil"/>
              <w:bottom w:val="nil"/>
              <w:right w:val="nil"/>
            </w:tcBorders>
            <w:shd w:val="clear" w:color="000000" w:fill="D9D9D9"/>
            <w:noWrap/>
            <w:vAlign w:val="center"/>
            <w:hideMark/>
          </w:tcPr>
          <w:p w14:paraId="58956E28" w14:textId="77777777" w:rsidR="00C52D06" w:rsidRPr="00C52D06" w:rsidRDefault="00C52D06" w:rsidP="00C52D06">
            <w:pPr>
              <w:spacing w:after="0" w:line="240" w:lineRule="auto"/>
              <w:rPr>
                <w:rFonts w:ascii="Segoe UI" w:eastAsia="Times New Roman" w:hAnsi="Segoe UI" w:cs="Segoe UI"/>
                <w:bCs/>
                <w:color w:val="000000"/>
                <w:sz w:val="18"/>
                <w:szCs w:val="20"/>
                <w:lang w:eastAsia="en-NZ"/>
              </w:rPr>
            </w:pPr>
            <w:r w:rsidRPr="00C52D06">
              <w:rPr>
                <w:rFonts w:ascii="Segoe UI" w:eastAsia="Times New Roman" w:hAnsi="Segoe UI" w:cs="Segoe UI"/>
                <w:bCs/>
                <w:color w:val="000000"/>
                <w:sz w:val="18"/>
                <w:szCs w:val="20"/>
                <w:lang w:eastAsia="en-NZ"/>
              </w:rPr>
              <w:t>Block Description</w:t>
            </w:r>
          </w:p>
        </w:tc>
      </w:tr>
      <w:tr w:rsidR="00C52D06" w:rsidRPr="00C52D06" w14:paraId="16C631B6" w14:textId="77777777" w:rsidTr="00C52D06">
        <w:trPr>
          <w:trHeight w:val="315"/>
        </w:trPr>
        <w:tc>
          <w:tcPr>
            <w:tcW w:w="1320" w:type="dxa"/>
            <w:tcBorders>
              <w:top w:val="nil"/>
              <w:left w:val="nil"/>
              <w:bottom w:val="single" w:sz="8" w:space="0" w:color="A6A6A6"/>
              <w:right w:val="nil"/>
            </w:tcBorders>
            <w:shd w:val="clear" w:color="auto" w:fill="auto"/>
            <w:noWrap/>
            <w:vAlign w:val="center"/>
            <w:hideMark/>
          </w:tcPr>
          <w:p w14:paraId="2E703C7B" w14:textId="77777777" w:rsidR="00C52D06" w:rsidRPr="00C52D06" w:rsidRDefault="00C52D06" w:rsidP="00C52D06">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3844000</w:t>
            </w:r>
          </w:p>
        </w:tc>
        <w:tc>
          <w:tcPr>
            <w:tcW w:w="3820" w:type="dxa"/>
            <w:tcBorders>
              <w:top w:val="nil"/>
              <w:left w:val="nil"/>
              <w:bottom w:val="single" w:sz="8" w:space="0" w:color="A6A6A6"/>
              <w:right w:val="nil"/>
            </w:tcBorders>
            <w:shd w:val="clear" w:color="auto" w:fill="auto"/>
            <w:noWrap/>
            <w:vAlign w:val="center"/>
            <w:hideMark/>
          </w:tcPr>
          <w:p w14:paraId="22CD0DEE" w14:textId="77777777" w:rsidR="00C52D06" w:rsidRPr="00C52D06" w:rsidRDefault="00C52D06" w:rsidP="00C52D06">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Wedge resection of lung</w:t>
            </w:r>
          </w:p>
        </w:tc>
        <w:tc>
          <w:tcPr>
            <w:tcW w:w="4211" w:type="dxa"/>
            <w:tcBorders>
              <w:top w:val="nil"/>
              <w:left w:val="nil"/>
              <w:bottom w:val="single" w:sz="8" w:space="0" w:color="A6A6A6"/>
              <w:right w:val="nil"/>
            </w:tcBorders>
            <w:shd w:val="clear" w:color="auto" w:fill="auto"/>
            <w:noWrap/>
            <w:vAlign w:val="center"/>
            <w:hideMark/>
          </w:tcPr>
          <w:p w14:paraId="2F9C35BC" w14:textId="77777777" w:rsidR="00C52D06" w:rsidRPr="00C52D06" w:rsidRDefault="00C52D06" w:rsidP="00C52D06">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C52D06" w:rsidRPr="00C52D06" w14:paraId="5502DBBD" w14:textId="77777777" w:rsidTr="00C52D06">
        <w:trPr>
          <w:trHeight w:val="315"/>
        </w:trPr>
        <w:tc>
          <w:tcPr>
            <w:tcW w:w="1320" w:type="dxa"/>
            <w:tcBorders>
              <w:top w:val="nil"/>
              <w:left w:val="nil"/>
              <w:bottom w:val="single" w:sz="8" w:space="0" w:color="A6A6A6"/>
              <w:right w:val="nil"/>
            </w:tcBorders>
            <w:shd w:val="clear" w:color="auto" w:fill="auto"/>
            <w:noWrap/>
            <w:vAlign w:val="center"/>
            <w:hideMark/>
          </w:tcPr>
          <w:p w14:paraId="4C6DC060" w14:textId="77777777" w:rsidR="00C52D06" w:rsidRPr="00C52D06" w:rsidRDefault="00C52D06" w:rsidP="00C52D06">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3844001</w:t>
            </w:r>
          </w:p>
        </w:tc>
        <w:tc>
          <w:tcPr>
            <w:tcW w:w="3820" w:type="dxa"/>
            <w:tcBorders>
              <w:top w:val="nil"/>
              <w:left w:val="nil"/>
              <w:bottom w:val="single" w:sz="8" w:space="0" w:color="A6A6A6"/>
              <w:right w:val="nil"/>
            </w:tcBorders>
            <w:shd w:val="clear" w:color="auto" w:fill="auto"/>
            <w:noWrap/>
            <w:vAlign w:val="center"/>
            <w:hideMark/>
          </w:tcPr>
          <w:p w14:paraId="2979F1A0" w14:textId="77777777" w:rsidR="00C52D06" w:rsidRPr="00C52D06" w:rsidRDefault="00C52D06" w:rsidP="00C52D06">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Radical wedge resection of lung</w:t>
            </w:r>
          </w:p>
        </w:tc>
        <w:tc>
          <w:tcPr>
            <w:tcW w:w="4211" w:type="dxa"/>
            <w:tcBorders>
              <w:top w:val="nil"/>
              <w:left w:val="nil"/>
              <w:bottom w:val="single" w:sz="8" w:space="0" w:color="A6A6A6"/>
              <w:right w:val="nil"/>
            </w:tcBorders>
            <w:shd w:val="clear" w:color="auto" w:fill="auto"/>
            <w:noWrap/>
            <w:vAlign w:val="center"/>
            <w:hideMark/>
          </w:tcPr>
          <w:p w14:paraId="46375D4B" w14:textId="77777777" w:rsidR="00C52D06" w:rsidRPr="00C52D06" w:rsidRDefault="00C52D06" w:rsidP="00C52D06">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C52D06" w:rsidRPr="00C52D06" w14:paraId="4D254F42" w14:textId="77777777" w:rsidTr="00C52D06">
        <w:trPr>
          <w:trHeight w:val="315"/>
        </w:trPr>
        <w:tc>
          <w:tcPr>
            <w:tcW w:w="1320" w:type="dxa"/>
            <w:tcBorders>
              <w:top w:val="nil"/>
              <w:left w:val="nil"/>
              <w:bottom w:val="single" w:sz="8" w:space="0" w:color="A6A6A6"/>
              <w:right w:val="nil"/>
            </w:tcBorders>
            <w:shd w:val="clear" w:color="auto" w:fill="auto"/>
            <w:noWrap/>
            <w:vAlign w:val="center"/>
            <w:hideMark/>
          </w:tcPr>
          <w:p w14:paraId="69B4C52A" w14:textId="77777777" w:rsidR="00C52D06" w:rsidRPr="00C52D06" w:rsidRDefault="00C52D06" w:rsidP="00C52D06">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3843800</w:t>
            </w:r>
          </w:p>
        </w:tc>
        <w:tc>
          <w:tcPr>
            <w:tcW w:w="3820" w:type="dxa"/>
            <w:tcBorders>
              <w:top w:val="nil"/>
              <w:left w:val="nil"/>
              <w:bottom w:val="single" w:sz="8" w:space="0" w:color="A6A6A6"/>
              <w:right w:val="nil"/>
            </w:tcBorders>
            <w:shd w:val="clear" w:color="auto" w:fill="auto"/>
            <w:noWrap/>
            <w:vAlign w:val="center"/>
            <w:hideMark/>
          </w:tcPr>
          <w:p w14:paraId="56FCBE7D" w14:textId="77777777" w:rsidR="00C52D06" w:rsidRPr="00C52D06" w:rsidRDefault="00C52D06" w:rsidP="00C52D06">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Segmental resection of lung</w:t>
            </w:r>
          </w:p>
        </w:tc>
        <w:tc>
          <w:tcPr>
            <w:tcW w:w="4211" w:type="dxa"/>
            <w:tcBorders>
              <w:top w:val="nil"/>
              <w:left w:val="nil"/>
              <w:bottom w:val="single" w:sz="8" w:space="0" w:color="A6A6A6"/>
              <w:right w:val="nil"/>
            </w:tcBorders>
            <w:shd w:val="clear" w:color="auto" w:fill="auto"/>
            <w:noWrap/>
            <w:vAlign w:val="center"/>
            <w:hideMark/>
          </w:tcPr>
          <w:p w14:paraId="3924A045" w14:textId="77777777" w:rsidR="00C52D06" w:rsidRPr="00C52D06" w:rsidRDefault="00C52D06" w:rsidP="00C52D06">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C52D06" w:rsidRPr="00C52D06" w14:paraId="5E8631FC" w14:textId="77777777" w:rsidTr="00C52D06">
        <w:trPr>
          <w:trHeight w:val="315"/>
        </w:trPr>
        <w:tc>
          <w:tcPr>
            <w:tcW w:w="1320" w:type="dxa"/>
            <w:tcBorders>
              <w:top w:val="nil"/>
              <w:left w:val="nil"/>
              <w:bottom w:val="single" w:sz="8" w:space="0" w:color="A6A6A6"/>
              <w:right w:val="nil"/>
            </w:tcBorders>
            <w:shd w:val="clear" w:color="auto" w:fill="auto"/>
            <w:noWrap/>
            <w:vAlign w:val="center"/>
            <w:hideMark/>
          </w:tcPr>
          <w:p w14:paraId="2B5E68CD" w14:textId="77777777" w:rsidR="00C52D06" w:rsidRPr="00C52D06" w:rsidRDefault="00C52D06" w:rsidP="00C52D06">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9016900</w:t>
            </w:r>
          </w:p>
        </w:tc>
        <w:tc>
          <w:tcPr>
            <w:tcW w:w="3820" w:type="dxa"/>
            <w:tcBorders>
              <w:top w:val="nil"/>
              <w:left w:val="nil"/>
              <w:bottom w:val="single" w:sz="8" w:space="0" w:color="A6A6A6"/>
              <w:right w:val="nil"/>
            </w:tcBorders>
            <w:shd w:val="clear" w:color="auto" w:fill="auto"/>
            <w:noWrap/>
            <w:vAlign w:val="center"/>
            <w:hideMark/>
          </w:tcPr>
          <w:p w14:paraId="5FE7416F" w14:textId="77777777" w:rsidR="00C52D06" w:rsidRPr="00C52D06" w:rsidRDefault="00C52D06" w:rsidP="00C52D06">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Endoscopic wedge resection of lung</w:t>
            </w:r>
          </w:p>
        </w:tc>
        <w:tc>
          <w:tcPr>
            <w:tcW w:w="4211" w:type="dxa"/>
            <w:tcBorders>
              <w:top w:val="nil"/>
              <w:left w:val="nil"/>
              <w:bottom w:val="single" w:sz="8" w:space="0" w:color="A6A6A6"/>
              <w:right w:val="nil"/>
            </w:tcBorders>
            <w:shd w:val="clear" w:color="auto" w:fill="auto"/>
            <w:noWrap/>
            <w:vAlign w:val="center"/>
            <w:hideMark/>
          </w:tcPr>
          <w:p w14:paraId="45C62BAC" w14:textId="77777777" w:rsidR="00C52D06" w:rsidRPr="00C52D06" w:rsidRDefault="00C52D06" w:rsidP="00C52D06">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C52D06" w:rsidRPr="00C52D06" w14:paraId="0F72A6C8" w14:textId="77777777" w:rsidTr="00C52D06">
        <w:trPr>
          <w:trHeight w:val="315"/>
        </w:trPr>
        <w:tc>
          <w:tcPr>
            <w:tcW w:w="1320" w:type="dxa"/>
            <w:tcBorders>
              <w:top w:val="nil"/>
              <w:left w:val="nil"/>
              <w:bottom w:val="single" w:sz="8" w:space="0" w:color="A6A6A6"/>
              <w:right w:val="nil"/>
            </w:tcBorders>
            <w:shd w:val="clear" w:color="auto" w:fill="auto"/>
            <w:noWrap/>
            <w:vAlign w:val="center"/>
            <w:hideMark/>
          </w:tcPr>
          <w:p w14:paraId="5D387BD8" w14:textId="77777777" w:rsidR="00C52D06" w:rsidRPr="00C52D06" w:rsidRDefault="00C52D06" w:rsidP="00C52D06">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lastRenderedPageBreak/>
              <w:t>3843801</w:t>
            </w:r>
          </w:p>
        </w:tc>
        <w:tc>
          <w:tcPr>
            <w:tcW w:w="3820" w:type="dxa"/>
            <w:tcBorders>
              <w:top w:val="nil"/>
              <w:left w:val="nil"/>
              <w:bottom w:val="single" w:sz="8" w:space="0" w:color="A6A6A6"/>
              <w:right w:val="nil"/>
            </w:tcBorders>
            <w:shd w:val="clear" w:color="auto" w:fill="auto"/>
            <w:noWrap/>
            <w:vAlign w:val="center"/>
            <w:hideMark/>
          </w:tcPr>
          <w:p w14:paraId="5AF3EB81" w14:textId="77777777" w:rsidR="00C52D06" w:rsidRPr="00C52D06" w:rsidRDefault="00C52D06" w:rsidP="00C52D06">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Lobectomy of lung</w:t>
            </w:r>
          </w:p>
        </w:tc>
        <w:tc>
          <w:tcPr>
            <w:tcW w:w="4211" w:type="dxa"/>
            <w:tcBorders>
              <w:top w:val="nil"/>
              <w:left w:val="nil"/>
              <w:bottom w:val="single" w:sz="8" w:space="0" w:color="A6A6A6"/>
              <w:right w:val="nil"/>
            </w:tcBorders>
            <w:shd w:val="clear" w:color="auto" w:fill="auto"/>
            <w:noWrap/>
            <w:vAlign w:val="center"/>
            <w:hideMark/>
          </w:tcPr>
          <w:p w14:paraId="5A9E8C21" w14:textId="77777777" w:rsidR="00C52D06" w:rsidRPr="00C52D06" w:rsidRDefault="00C52D06" w:rsidP="00C52D06">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Lobectomy of lung</w:t>
            </w:r>
          </w:p>
        </w:tc>
      </w:tr>
      <w:tr w:rsidR="00C52D06" w:rsidRPr="00C52D06" w14:paraId="4629D7C3" w14:textId="77777777" w:rsidTr="00C52D06">
        <w:trPr>
          <w:trHeight w:val="315"/>
        </w:trPr>
        <w:tc>
          <w:tcPr>
            <w:tcW w:w="1320" w:type="dxa"/>
            <w:tcBorders>
              <w:top w:val="nil"/>
              <w:left w:val="nil"/>
              <w:bottom w:val="single" w:sz="8" w:space="0" w:color="A6A6A6"/>
              <w:right w:val="nil"/>
            </w:tcBorders>
            <w:shd w:val="clear" w:color="auto" w:fill="auto"/>
            <w:noWrap/>
            <w:vAlign w:val="center"/>
            <w:hideMark/>
          </w:tcPr>
          <w:p w14:paraId="3C750380" w14:textId="77777777" w:rsidR="00C52D06" w:rsidRPr="00C52D06" w:rsidRDefault="00C52D06" w:rsidP="00C52D06">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3844100</w:t>
            </w:r>
          </w:p>
        </w:tc>
        <w:tc>
          <w:tcPr>
            <w:tcW w:w="3820" w:type="dxa"/>
            <w:tcBorders>
              <w:top w:val="nil"/>
              <w:left w:val="nil"/>
              <w:bottom w:val="single" w:sz="8" w:space="0" w:color="A6A6A6"/>
              <w:right w:val="nil"/>
            </w:tcBorders>
            <w:shd w:val="clear" w:color="auto" w:fill="auto"/>
            <w:noWrap/>
            <w:vAlign w:val="center"/>
            <w:hideMark/>
          </w:tcPr>
          <w:p w14:paraId="70140BDB" w14:textId="77777777" w:rsidR="00C52D06" w:rsidRPr="00C52D06" w:rsidRDefault="00C52D06" w:rsidP="00C52D06">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Radical lobectomy</w:t>
            </w:r>
          </w:p>
        </w:tc>
        <w:tc>
          <w:tcPr>
            <w:tcW w:w="4211" w:type="dxa"/>
            <w:tcBorders>
              <w:top w:val="nil"/>
              <w:left w:val="nil"/>
              <w:bottom w:val="single" w:sz="8" w:space="0" w:color="A6A6A6"/>
              <w:right w:val="nil"/>
            </w:tcBorders>
            <w:shd w:val="clear" w:color="auto" w:fill="auto"/>
            <w:noWrap/>
            <w:vAlign w:val="center"/>
            <w:hideMark/>
          </w:tcPr>
          <w:p w14:paraId="4C17BFE7" w14:textId="77777777" w:rsidR="00C52D06" w:rsidRPr="00C52D06" w:rsidRDefault="00C52D06" w:rsidP="00C52D06">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Lobectomy of lung</w:t>
            </w:r>
          </w:p>
        </w:tc>
      </w:tr>
      <w:tr w:rsidR="00C52D06" w:rsidRPr="00C52D06" w14:paraId="1FA24E53" w14:textId="77777777" w:rsidTr="00C52D06">
        <w:trPr>
          <w:trHeight w:val="315"/>
        </w:trPr>
        <w:tc>
          <w:tcPr>
            <w:tcW w:w="1320" w:type="dxa"/>
            <w:tcBorders>
              <w:top w:val="nil"/>
              <w:left w:val="nil"/>
              <w:bottom w:val="single" w:sz="8" w:space="0" w:color="A6A6A6"/>
              <w:right w:val="nil"/>
            </w:tcBorders>
            <w:shd w:val="clear" w:color="auto" w:fill="auto"/>
            <w:noWrap/>
            <w:vAlign w:val="center"/>
            <w:hideMark/>
          </w:tcPr>
          <w:p w14:paraId="4E471B52" w14:textId="77777777" w:rsidR="00C52D06" w:rsidRPr="00C52D06" w:rsidRDefault="00C52D06" w:rsidP="00C52D06">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3844101</w:t>
            </w:r>
          </w:p>
        </w:tc>
        <w:tc>
          <w:tcPr>
            <w:tcW w:w="3820" w:type="dxa"/>
            <w:tcBorders>
              <w:top w:val="nil"/>
              <w:left w:val="nil"/>
              <w:bottom w:val="single" w:sz="8" w:space="0" w:color="A6A6A6"/>
              <w:right w:val="nil"/>
            </w:tcBorders>
            <w:shd w:val="clear" w:color="auto" w:fill="auto"/>
            <w:noWrap/>
            <w:vAlign w:val="center"/>
            <w:hideMark/>
          </w:tcPr>
          <w:p w14:paraId="18EFFD92" w14:textId="77777777" w:rsidR="00C52D06" w:rsidRPr="00C52D06" w:rsidRDefault="00C52D06" w:rsidP="00C52D06">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Radical pneumonectomy</w:t>
            </w:r>
          </w:p>
        </w:tc>
        <w:tc>
          <w:tcPr>
            <w:tcW w:w="4211" w:type="dxa"/>
            <w:tcBorders>
              <w:top w:val="nil"/>
              <w:left w:val="nil"/>
              <w:bottom w:val="single" w:sz="8" w:space="0" w:color="A6A6A6"/>
              <w:right w:val="nil"/>
            </w:tcBorders>
            <w:shd w:val="clear" w:color="auto" w:fill="auto"/>
            <w:noWrap/>
            <w:vAlign w:val="center"/>
            <w:hideMark/>
          </w:tcPr>
          <w:p w14:paraId="49DF8947" w14:textId="77777777" w:rsidR="00C52D06" w:rsidRPr="00C52D06" w:rsidRDefault="00C52D06" w:rsidP="00C52D06">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Pneumonectomy</w:t>
            </w:r>
          </w:p>
        </w:tc>
      </w:tr>
      <w:tr w:rsidR="00C52D06" w:rsidRPr="00C52D06" w14:paraId="1BDF2086" w14:textId="77777777" w:rsidTr="00C52D06">
        <w:trPr>
          <w:trHeight w:val="315"/>
        </w:trPr>
        <w:tc>
          <w:tcPr>
            <w:tcW w:w="1320" w:type="dxa"/>
            <w:tcBorders>
              <w:top w:val="nil"/>
              <w:left w:val="nil"/>
              <w:bottom w:val="single" w:sz="8" w:space="0" w:color="A6A6A6"/>
              <w:right w:val="nil"/>
            </w:tcBorders>
            <w:shd w:val="clear" w:color="auto" w:fill="auto"/>
            <w:noWrap/>
            <w:vAlign w:val="center"/>
            <w:hideMark/>
          </w:tcPr>
          <w:p w14:paraId="30A37E5A" w14:textId="77777777" w:rsidR="00C52D06" w:rsidRPr="00C52D06" w:rsidRDefault="00C52D06" w:rsidP="00C52D06">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3843802</w:t>
            </w:r>
          </w:p>
        </w:tc>
        <w:tc>
          <w:tcPr>
            <w:tcW w:w="3820" w:type="dxa"/>
            <w:tcBorders>
              <w:top w:val="nil"/>
              <w:left w:val="nil"/>
              <w:bottom w:val="single" w:sz="8" w:space="0" w:color="A6A6A6"/>
              <w:right w:val="nil"/>
            </w:tcBorders>
            <w:shd w:val="clear" w:color="auto" w:fill="auto"/>
            <w:noWrap/>
            <w:vAlign w:val="center"/>
            <w:hideMark/>
          </w:tcPr>
          <w:p w14:paraId="0B32FF04" w14:textId="77777777" w:rsidR="00C52D06" w:rsidRPr="00C52D06" w:rsidRDefault="00C52D06" w:rsidP="00C52D06">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Pneumonectomy</w:t>
            </w:r>
          </w:p>
        </w:tc>
        <w:tc>
          <w:tcPr>
            <w:tcW w:w="4211" w:type="dxa"/>
            <w:tcBorders>
              <w:top w:val="nil"/>
              <w:left w:val="nil"/>
              <w:bottom w:val="single" w:sz="8" w:space="0" w:color="A6A6A6"/>
              <w:right w:val="nil"/>
            </w:tcBorders>
            <w:shd w:val="clear" w:color="auto" w:fill="auto"/>
            <w:noWrap/>
            <w:vAlign w:val="center"/>
            <w:hideMark/>
          </w:tcPr>
          <w:p w14:paraId="3E6DF865" w14:textId="77777777" w:rsidR="00C52D06" w:rsidRPr="00C52D06" w:rsidRDefault="00C52D06" w:rsidP="00C52D06">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Pneumonectomy</w:t>
            </w:r>
          </w:p>
        </w:tc>
      </w:tr>
    </w:tbl>
    <w:p w14:paraId="25C713B2" w14:textId="61FAC2A3" w:rsidR="008529AC" w:rsidRDefault="008529AC" w:rsidP="008529AC"/>
    <w:tbl>
      <w:tblPr>
        <w:tblW w:w="9180" w:type="dxa"/>
        <w:tblLook w:val="04A0" w:firstRow="1" w:lastRow="0" w:firstColumn="1" w:lastColumn="0" w:noHBand="0" w:noVBand="1"/>
      </w:tblPr>
      <w:tblGrid>
        <w:gridCol w:w="1280"/>
        <w:gridCol w:w="3060"/>
        <w:gridCol w:w="4840"/>
      </w:tblGrid>
      <w:tr w:rsidR="00C52D06" w:rsidRPr="00C52D06" w14:paraId="4DBD63A1" w14:textId="77777777" w:rsidTr="00C52D06">
        <w:trPr>
          <w:trHeight w:val="480"/>
        </w:trPr>
        <w:tc>
          <w:tcPr>
            <w:tcW w:w="918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4810E8" w14:textId="6301F782" w:rsidR="00C52D06" w:rsidRPr="00C52D06" w:rsidRDefault="00C52D06" w:rsidP="00C52D06">
            <w:pPr>
              <w:spacing w:after="0" w:line="240" w:lineRule="auto"/>
              <w:ind w:firstLineChars="100" w:firstLine="201"/>
              <w:jc w:val="center"/>
              <w:rPr>
                <w:rFonts w:ascii="Segoe UI" w:eastAsia="Times New Roman" w:hAnsi="Segoe UI" w:cs="Segoe UI"/>
                <w:b/>
                <w:bCs/>
                <w:color w:val="000000"/>
                <w:sz w:val="20"/>
                <w:szCs w:val="18"/>
                <w:lang w:eastAsia="en-NZ"/>
              </w:rPr>
            </w:pPr>
            <w:r>
              <w:rPr>
                <w:rFonts w:ascii="Segoe UI" w:eastAsia="Times New Roman" w:hAnsi="Segoe UI" w:cs="Segoe UI"/>
                <w:b/>
                <w:bCs/>
                <w:color w:val="000000"/>
                <w:sz w:val="20"/>
                <w:szCs w:val="18"/>
                <w:lang w:eastAsia="en-NZ"/>
              </w:rPr>
              <w:t>PROSTATE CANCER SURGERY</w:t>
            </w:r>
          </w:p>
        </w:tc>
      </w:tr>
      <w:tr w:rsidR="00C52D06" w:rsidRPr="00C52D06" w14:paraId="5F870461" w14:textId="77777777" w:rsidTr="00C52D06">
        <w:trPr>
          <w:trHeight w:val="480"/>
        </w:trPr>
        <w:tc>
          <w:tcPr>
            <w:tcW w:w="1280" w:type="dxa"/>
            <w:tcBorders>
              <w:top w:val="single" w:sz="4" w:space="0" w:color="auto"/>
              <w:left w:val="nil"/>
              <w:bottom w:val="nil"/>
              <w:right w:val="nil"/>
            </w:tcBorders>
            <w:shd w:val="clear" w:color="000000" w:fill="D9D9D9"/>
            <w:vAlign w:val="center"/>
            <w:hideMark/>
          </w:tcPr>
          <w:p w14:paraId="5D846008" w14:textId="77777777" w:rsidR="00C52D06" w:rsidRPr="00C52D06" w:rsidRDefault="00C52D06" w:rsidP="00C52D06">
            <w:pPr>
              <w:spacing w:after="0" w:line="240" w:lineRule="auto"/>
              <w:jc w:val="center"/>
              <w:rPr>
                <w:rFonts w:ascii="Segoe UI" w:eastAsia="Times New Roman" w:hAnsi="Segoe UI" w:cs="Segoe UI"/>
                <w:bCs/>
                <w:color w:val="000000"/>
                <w:sz w:val="18"/>
                <w:szCs w:val="18"/>
                <w:lang w:eastAsia="en-NZ"/>
              </w:rPr>
            </w:pPr>
            <w:r w:rsidRPr="00C52D06">
              <w:rPr>
                <w:rFonts w:ascii="Segoe UI" w:eastAsia="Times New Roman" w:hAnsi="Segoe UI" w:cs="Segoe UI"/>
                <w:bCs/>
                <w:color w:val="000000"/>
                <w:sz w:val="18"/>
                <w:szCs w:val="18"/>
                <w:lang w:eastAsia="en-NZ"/>
              </w:rPr>
              <w:t>Clinical code</w:t>
            </w:r>
          </w:p>
        </w:tc>
        <w:tc>
          <w:tcPr>
            <w:tcW w:w="3060" w:type="dxa"/>
            <w:tcBorders>
              <w:top w:val="single" w:sz="4" w:space="0" w:color="auto"/>
              <w:left w:val="nil"/>
              <w:bottom w:val="nil"/>
              <w:right w:val="nil"/>
            </w:tcBorders>
            <w:shd w:val="clear" w:color="000000" w:fill="D9D9D9"/>
            <w:vAlign w:val="center"/>
            <w:hideMark/>
          </w:tcPr>
          <w:p w14:paraId="3A6503AD" w14:textId="77777777" w:rsidR="00C52D06" w:rsidRPr="00C52D06" w:rsidRDefault="00C52D06" w:rsidP="00C52D06">
            <w:pPr>
              <w:spacing w:after="0" w:line="240" w:lineRule="auto"/>
              <w:ind w:firstLineChars="100" w:firstLine="180"/>
              <w:rPr>
                <w:rFonts w:ascii="Segoe UI" w:eastAsia="Times New Roman" w:hAnsi="Segoe UI" w:cs="Segoe UI"/>
                <w:bCs/>
                <w:color w:val="000000"/>
                <w:sz w:val="18"/>
                <w:szCs w:val="18"/>
                <w:lang w:eastAsia="en-NZ"/>
              </w:rPr>
            </w:pPr>
            <w:r w:rsidRPr="00C52D06">
              <w:rPr>
                <w:rFonts w:ascii="Segoe UI" w:eastAsia="Times New Roman" w:hAnsi="Segoe UI" w:cs="Segoe UI"/>
                <w:bCs/>
                <w:color w:val="000000"/>
                <w:sz w:val="18"/>
                <w:szCs w:val="18"/>
                <w:lang w:eastAsia="en-NZ"/>
              </w:rPr>
              <w:t>Block short description</w:t>
            </w:r>
          </w:p>
        </w:tc>
        <w:tc>
          <w:tcPr>
            <w:tcW w:w="4840" w:type="dxa"/>
            <w:tcBorders>
              <w:top w:val="single" w:sz="4" w:space="0" w:color="auto"/>
              <w:left w:val="nil"/>
              <w:bottom w:val="nil"/>
              <w:right w:val="nil"/>
            </w:tcBorders>
            <w:shd w:val="clear" w:color="000000" w:fill="D9D9D9"/>
            <w:vAlign w:val="center"/>
            <w:hideMark/>
          </w:tcPr>
          <w:p w14:paraId="504AC57C" w14:textId="77777777" w:rsidR="00C52D06" w:rsidRPr="00C52D06" w:rsidRDefault="00C52D06" w:rsidP="00C52D06">
            <w:pPr>
              <w:spacing w:after="0" w:line="240" w:lineRule="auto"/>
              <w:rPr>
                <w:rFonts w:ascii="Segoe UI" w:eastAsia="Times New Roman" w:hAnsi="Segoe UI" w:cs="Segoe UI"/>
                <w:bCs/>
                <w:color w:val="000000"/>
                <w:sz w:val="18"/>
                <w:szCs w:val="18"/>
                <w:lang w:eastAsia="en-NZ"/>
              </w:rPr>
            </w:pPr>
            <w:r w:rsidRPr="00C52D06">
              <w:rPr>
                <w:rFonts w:ascii="Segoe UI" w:eastAsia="Times New Roman" w:hAnsi="Segoe UI" w:cs="Segoe UI"/>
                <w:bCs/>
                <w:color w:val="000000"/>
                <w:sz w:val="18"/>
                <w:szCs w:val="18"/>
                <w:lang w:eastAsia="en-NZ"/>
              </w:rPr>
              <w:t>Clinical code description</w:t>
            </w:r>
          </w:p>
        </w:tc>
      </w:tr>
      <w:tr w:rsidR="00C52D06" w:rsidRPr="00C52D06" w14:paraId="3212062A" w14:textId="77777777" w:rsidTr="00C52D06">
        <w:trPr>
          <w:trHeight w:val="315"/>
        </w:trPr>
        <w:tc>
          <w:tcPr>
            <w:tcW w:w="1280" w:type="dxa"/>
            <w:tcBorders>
              <w:top w:val="nil"/>
              <w:left w:val="nil"/>
              <w:bottom w:val="single" w:sz="8" w:space="0" w:color="A6A6A6"/>
              <w:right w:val="nil"/>
            </w:tcBorders>
            <w:shd w:val="clear" w:color="auto" w:fill="auto"/>
            <w:vAlign w:val="center"/>
            <w:hideMark/>
          </w:tcPr>
          <w:p w14:paraId="59BFF160" w14:textId="77777777" w:rsidR="00C52D06" w:rsidRPr="00C52D06" w:rsidRDefault="00C52D06" w:rsidP="00C52D06">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3720004</w:t>
            </w:r>
          </w:p>
        </w:tc>
        <w:tc>
          <w:tcPr>
            <w:tcW w:w="3060" w:type="dxa"/>
            <w:tcBorders>
              <w:top w:val="nil"/>
              <w:left w:val="nil"/>
              <w:bottom w:val="single" w:sz="8" w:space="0" w:color="A6A6A6"/>
              <w:right w:val="nil"/>
            </w:tcBorders>
            <w:shd w:val="clear" w:color="auto" w:fill="auto"/>
            <w:vAlign w:val="center"/>
            <w:hideMark/>
          </w:tcPr>
          <w:p w14:paraId="339BDE8C" w14:textId="77777777" w:rsidR="00C52D06" w:rsidRPr="00C52D06" w:rsidRDefault="00C52D06" w:rsidP="00C52D06">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7DB55F32" w14:textId="77777777" w:rsidR="00C52D06" w:rsidRPr="00C52D06" w:rsidRDefault="00C52D06" w:rsidP="00C52D06">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Retropubic prostatectomy</w:t>
            </w:r>
          </w:p>
        </w:tc>
      </w:tr>
      <w:tr w:rsidR="00C52D06" w:rsidRPr="00C52D06" w14:paraId="15DC2601" w14:textId="77777777" w:rsidTr="00C52D06">
        <w:trPr>
          <w:trHeight w:val="315"/>
        </w:trPr>
        <w:tc>
          <w:tcPr>
            <w:tcW w:w="1280" w:type="dxa"/>
            <w:tcBorders>
              <w:top w:val="nil"/>
              <w:left w:val="nil"/>
              <w:bottom w:val="single" w:sz="8" w:space="0" w:color="A6A6A6"/>
              <w:right w:val="nil"/>
            </w:tcBorders>
            <w:shd w:val="clear" w:color="auto" w:fill="auto"/>
            <w:vAlign w:val="center"/>
            <w:hideMark/>
          </w:tcPr>
          <w:p w14:paraId="78833C9D" w14:textId="77777777" w:rsidR="00C52D06" w:rsidRPr="00C52D06" w:rsidRDefault="00C52D06" w:rsidP="00C52D06">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3720900</w:t>
            </w:r>
          </w:p>
        </w:tc>
        <w:tc>
          <w:tcPr>
            <w:tcW w:w="3060" w:type="dxa"/>
            <w:tcBorders>
              <w:top w:val="nil"/>
              <w:left w:val="nil"/>
              <w:bottom w:val="single" w:sz="8" w:space="0" w:color="A6A6A6"/>
              <w:right w:val="nil"/>
            </w:tcBorders>
            <w:shd w:val="clear" w:color="auto" w:fill="auto"/>
            <w:vAlign w:val="center"/>
            <w:hideMark/>
          </w:tcPr>
          <w:p w14:paraId="5DB95E8D" w14:textId="77777777" w:rsidR="00C52D06" w:rsidRPr="00C52D06" w:rsidRDefault="00C52D06" w:rsidP="00C52D06">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2B6D2975" w14:textId="77777777" w:rsidR="00C52D06" w:rsidRPr="00C52D06" w:rsidRDefault="00C52D06" w:rsidP="00C52D06">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w:t>
            </w:r>
          </w:p>
        </w:tc>
      </w:tr>
      <w:tr w:rsidR="00C52D06" w:rsidRPr="00C52D06" w14:paraId="6B489656" w14:textId="77777777" w:rsidTr="00C52D06">
        <w:trPr>
          <w:trHeight w:val="315"/>
        </w:trPr>
        <w:tc>
          <w:tcPr>
            <w:tcW w:w="1280" w:type="dxa"/>
            <w:tcBorders>
              <w:top w:val="nil"/>
              <w:left w:val="nil"/>
              <w:bottom w:val="single" w:sz="8" w:space="0" w:color="A6A6A6"/>
              <w:right w:val="nil"/>
            </w:tcBorders>
            <w:shd w:val="clear" w:color="auto" w:fill="auto"/>
            <w:vAlign w:val="center"/>
            <w:hideMark/>
          </w:tcPr>
          <w:p w14:paraId="39AAA631" w14:textId="77777777" w:rsidR="00C52D06" w:rsidRPr="00C52D06" w:rsidRDefault="00C52D06" w:rsidP="00C52D06">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3720901</w:t>
            </w:r>
          </w:p>
        </w:tc>
        <w:tc>
          <w:tcPr>
            <w:tcW w:w="3060" w:type="dxa"/>
            <w:tcBorders>
              <w:top w:val="nil"/>
              <w:left w:val="nil"/>
              <w:bottom w:val="single" w:sz="8" w:space="0" w:color="A6A6A6"/>
              <w:right w:val="nil"/>
            </w:tcBorders>
            <w:shd w:val="clear" w:color="auto" w:fill="auto"/>
            <w:vAlign w:val="center"/>
            <w:hideMark/>
          </w:tcPr>
          <w:p w14:paraId="62B6779F" w14:textId="77777777" w:rsidR="00C52D06" w:rsidRPr="00C52D06" w:rsidRDefault="00C52D06" w:rsidP="00C52D06">
            <w:pPr>
              <w:spacing w:after="0" w:line="240" w:lineRule="auto"/>
              <w:ind w:firstLineChars="100" w:firstLine="180"/>
              <w:rPr>
                <w:rFonts w:ascii="Segoe UI" w:eastAsia="Times New Roman" w:hAnsi="Segoe UI" w:cs="Segoe UI"/>
                <w:color w:val="000000"/>
                <w:sz w:val="18"/>
                <w:szCs w:val="18"/>
                <w:lang w:eastAsia="en-NZ"/>
              </w:rPr>
            </w:pPr>
            <w:proofErr w:type="gramStart"/>
            <w:r w:rsidRPr="00C52D06">
              <w:rPr>
                <w:rFonts w:ascii="Segoe UI" w:eastAsia="Times New Roman" w:hAnsi="Segoe UI" w:cs="Segoe UI"/>
                <w:color w:val="000000"/>
                <w:sz w:val="18"/>
                <w:szCs w:val="18"/>
                <w:lang w:eastAsia="en-NZ"/>
              </w:rPr>
              <w:t>Other</w:t>
            </w:r>
            <w:proofErr w:type="gramEnd"/>
            <w:r w:rsidRPr="00C52D06">
              <w:rPr>
                <w:rFonts w:ascii="Segoe UI" w:eastAsia="Times New Roman" w:hAnsi="Segoe UI" w:cs="Segoe UI"/>
                <w:color w:val="000000"/>
                <w:sz w:val="18"/>
                <w:szCs w:val="18"/>
                <w:lang w:eastAsia="en-NZ"/>
              </w:rPr>
              <w:t xml:space="preserve"> closed prostatectomy</w:t>
            </w:r>
          </w:p>
        </w:tc>
        <w:tc>
          <w:tcPr>
            <w:tcW w:w="4840" w:type="dxa"/>
            <w:tcBorders>
              <w:top w:val="nil"/>
              <w:left w:val="nil"/>
              <w:bottom w:val="single" w:sz="8" w:space="0" w:color="A6A6A6"/>
              <w:right w:val="nil"/>
            </w:tcBorders>
            <w:shd w:val="clear" w:color="auto" w:fill="auto"/>
            <w:vAlign w:val="center"/>
            <w:hideMark/>
          </w:tcPr>
          <w:p w14:paraId="0D17F617" w14:textId="77777777" w:rsidR="00C52D06" w:rsidRPr="00C52D06" w:rsidRDefault="00C52D06" w:rsidP="00C52D06">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w:t>
            </w:r>
          </w:p>
        </w:tc>
      </w:tr>
      <w:tr w:rsidR="00C52D06" w:rsidRPr="00C52D06" w14:paraId="1428D8A1" w14:textId="77777777" w:rsidTr="00C52D06">
        <w:trPr>
          <w:trHeight w:val="315"/>
        </w:trPr>
        <w:tc>
          <w:tcPr>
            <w:tcW w:w="1280" w:type="dxa"/>
            <w:tcBorders>
              <w:top w:val="nil"/>
              <w:left w:val="nil"/>
              <w:bottom w:val="single" w:sz="8" w:space="0" w:color="A6A6A6"/>
              <w:right w:val="nil"/>
            </w:tcBorders>
            <w:shd w:val="clear" w:color="auto" w:fill="auto"/>
            <w:vAlign w:val="center"/>
            <w:hideMark/>
          </w:tcPr>
          <w:p w14:paraId="5ABC541B" w14:textId="77777777" w:rsidR="00C52D06" w:rsidRPr="00C52D06" w:rsidRDefault="00C52D06" w:rsidP="00C52D06">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3721000</w:t>
            </w:r>
          </w:p>
        </w:tc>
        <w:tc>
          <w:tcPr>
            <w:tcW w:w="3060" w:type="dxa"/>
            <w:tcBorders>
              <w:top w:val="nil"/>
              <w:left w:val="nil"/>
              <w:bottom w:val="single" w:sz="8" w:space="0" w:color="A6A6A6"/>
              <w:right w:val="nil"/>
            </w:tcBorders>
            <w:shd w:val="clear" w:color="auto" w:fill="auto"/>
            <w:vAlign w:val="center"/>
            <w:hideMark/>
          </w:tcPr>
          <w:p w14:paraId="05F37B2F" w14:textId="77777777" w:rsidR="00C52D06" w:rsidRPr="00C52D06" w:rsidRDefault="00C52D06" w:rsidP="00C52D06">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68C978B6" w14:textId="77777777" w:rsidR="00C52D06" w:rsidRPr="00C52D06" w:rsidRDefault="00C52D06" w:rsidP="00C52D06">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w:t>
            </w:r>
          </w:p>
        </w:tc>
      </w:tr>
      <w:tr w:rsidR="00C52D06" w:rsidRPr="00C52D06" w14:paraId="32A7BD79" w14:textId="77777777" w:rsidTr="00C52D06">
        <w:trPr>
          <w:trHeight w:val="495"/>
        </w:trPr>
        <w:tc>
          <w:tcPr>
            <w:tcW w:w="1280" w:type="dxa"/>
            <w:tcBorders>
              <w:top w:val="nil"/>
              <w:left w:val="nil"/>
              <w:bottom w:val="single" w:sz="8" w:space="0" w:color="A6A6A6"/>
              <w:right w:val="nil"/>
            </w:tcBorders>
            <w:shd w:val="clear" w:color="auto" w:fill="auto"/>
            <w:vAlign w:val="center"/>
            <w:hideMark/>
          </w:tcPr>
          <w:p w14:paraId="7E0B4B49" w14:textId="77777777" w:rsidR="00C52D06" w:rsidRPr="00C52D06" w:rsidRDefault="00C52D06" w:rsidP="00C52D06">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3721001</w:t>
            </w:r>
          </w:p>
        </w:tc>
        <w:tc>
          <w:tcPr>
            <w:tcW w:w="3060" w:type="dxa"/>
            <w:tcBorders>
              <w:top w:val="nil"/>
              <w:left w:val="nil"/>
              <w:bottom w:val="single" w:sz="8" w:space="0" w:color="A6A6A6"/>
              <w:right w:val="nil"/>
            </w:tcBorders>
            <w:shd w:val="clear" w:color="auto" w:fill="auto"/>
            <w:vAlign w:val="center"/>
            <w:hideMark/>
          </w:tcPr>
          <w:p w14:paraId="12543592" w14:textId="77777777" w:rsidR="00C52D06" w:rsidRPr="00C52D06" w:rsidRDefault="00C52D06" w:rsidP="00C52D06">
            <w:pPr>
              <w:spacing w:after="0" w:line="240" w:lineRule="auto"/>
              <w:ind w:firstLineChars="100" w:firstLine="180"/>
              <w:rPr>
                <w:rFonts w:ascii="Segoe UI" w:eastAsia="Times New Roman" w:hAnsi="Segoe UI" w:cs="Segoe UI"/>
                <w:color w:val="000000"/>
                <w:sz w:val="18"/>
                <w:szCs w:val="18"/>
                <w:lang w:eastAsia="en-NZ"/>
              </w:rPr>
            </w:pPr>
            <w:proofErr w:type="gramStart"/>
            <w:r w:rsidRPr="00C52D06">
              <w:rPr>
                <w:rFonts w:ascii="Segoe UI" w:eastAsia="Times New Roman" w:hAnsi="Segoe UI" w:cs="Segoe UI"/>
                <w:color w:val="000000"/>
                <w:sz w:val="18"/>
                <w:szCs w:val="18"/>
                <w:lang w:eastAsia="en-NZ"/>
              </w:rPr>
              <w:t>Other</w:t>
            </w:r>
            <w:proofErr w:type="gramEnd"/>
            <w:r w:rsidRPr="00C52D06">
              <w:rPr>
                <w:rFonts w:ascii="Segoe UI" w:eastAsia="Times New Roman" w:hAnsi="Segoe UI" w:cs="Segoe UI"/>
                <w:color w:val="000000"/>
                <w:sz w:val="18"/>
                <w:szCs w:val="18"/>
                <w:lang w:eastAsia="en-NZ"/>
              </w:rPr>
              <w:t xml:space="preserve"> closed prostatectomy</w:t>
            </w:r>
          </w:p>
        </w:tc>
        <w:tc>
          <w:tcPr>
            <w:tcW w:w="4840" w:type="dxa"/>
            <w:tcBorders>
              <w:top w:val="nil"/>
              <w:left w:val="nil"/>
              <w:bottom w:val="single" w:sz="8" w:space="0" w:color="A6A6A6"/>
              <w:right w:val="nil"/>
            </w:tcBorders>
            <w:shd w:val="clear" w:color="auto" w:fill="auto"/>
            <w:vAlign w:val="center"/>
            <w:hideMark/>
          </w:tcPr>
          <w:p w14:paraId="4397D3DE" w14:textId="77777777" w:rsidR="00C52D06" w:rsidRPr="00C52D06" w:rsidRDefault="00C52D06" w:rsidP="00C52D06">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 with bladder neck reconstruction</w:t>
            </w:r>
          </w:p>
        </w:tc>
      </w:tr>
      <w:tr w:rsidR="00C52D06" w:rsidRPr="00C52D06" w14:paraId="5CA7D044" w14:textId="77777777" w:rsidTr="00C52D06">
        <w:trPr>
          <w:trHeight w:val="495"/>
        </w:trPr>
        <w:tc>
          <w:tcPr>
            <w:tcW w:w="1280" w:type="dxa"/>
            <w:tcBorders>
              <w:top w:val="nil"/>
              <w:left w:val="nil"/>
              <w:bottom w:val="single" w:sz="8" w:space="0" w:color="A6A6A6"/>
              <w:right w:val="nil"/>
            </w:tcBorders>
            <w:shd w:val="clear" w:color="auto" w:fill="auto"/>
            <w:vAlign w:val="center"/>
            <w:hideMark/>
          </w:tcPr>
          <w:p w14:paraId="681C8BEB" w14:textId="77777777" w:rsidR="00C52D06" w:rsidRPr="00C52D06" w:rsidRDefault="00C52D06" w:rsidP="00C52D06">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3721100</w:t>
            </w:r>
          </w:p>
        </w:tc>
        <w:tc>
          <w:tcPr>
            <w:tcW w:w="3060" w:type="dxa"/>
            <w:tcBorders>
              <w:top w:val="nil"/>
              <w:left w:val="nil"/>
              <w:bottom w:val="single" w:sz="8" w:space="0" w:color="A6A6A6"/>
              <w:right w:val="nil"/>
            </w:tcBorders>
            <w:shd w:val="clear" w:color="auto" w:fill="auto"/>
            <w:vAlign w:val="center"/>
            <w:hideMark/>
          </w:tcPr>
          <w:p w14:paraId="2A30A2B8" w14:textId="77777777" w:rsidR="00C52D06" w:rsidRPr="00C52D06" w:rsidRDefault="00C52D06" w:rsidP="00C52D06">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26DF3959" w14:textId="77777777" w:rsidR="00C52D06" w:rsidRPr="00C52D06" w:rsidRDefault="00C52D06" w:rsidP="00C52D06">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 and pelvic lymphadenectomy</w:t>
            </w:r>
          </w:p>
        </w:tc>
      </w:tr>
      <w:tr w:rsidR="00C52D06" w:rsidRPr="00C52D06" w14:paraId="74D063AB" w14:textId="77777777" w:rsidTr="00C52D06">
        <w:trPr>
          <w:trHeight w:val="495"/>
        </w:trPr>
        <w:tc>
          <w:tcPr>
            <w:tcW w:w="1280" w:type="dxa"/>
            <w:tcBorders>
              <w:top w:val="nil"/>
              <w:left w:val="nil"/>
              <w:bottom w:val="single" w:sz="8" w:space="0" w:color="A6A6A6"/>
              <w:right w:val="nil"/>
            </w:tcBorders>
            <w:shd w:val="clear" w:color="auto" w:fill="auto"/>
            <w:vAlign w:val="center"/>
            <w:hideMark/>
          </w:tcPr>
          <w:p w14:paraId="2CED9EBD" w14:textId="77777777" w:rsidR="00C52D06" w:rsidRPr="00C52D06" w:rsidRDefault="00C52D06" w:rsidP="00C52D06">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3721101</w:t>
            </w:r>
          </w:p>
        </w:tc>
        <w:tc>
          <w:tcPr>
            <w:tcW w:w="3060" w:type="dxa"/>
            <w:tcBorders>
              <w:top w:val="nil"/>
              <w:left w:val="nil"/>
              <w:bottom w:val="single" w:sz="8" w:space="0" w:color="A6A6A6"/>
              <w:right w:val="nil"/>
            </w:tcBorders>
            <w:shd w:val="clear" w:color="auto" w:fill="auto"/>
            <w:vAlign w:val="center"/>
            <w:hideMark/>
          </w:tcPr>
          <w:p w14:paraId="32EF90ED" w14:textId="77777777" w:rsidR="00C52D06" w:rsidRPr="00C52D06" w:rsidRDefault="00C52D06" w:rsidP="00C52D06">
            <w:pPr>
              <w:spacing w:after="0" w:line="240" w:lineRule="auto"/>
              <w:ind w:firstLineChars="100" w:firstLine="180"/>
              <w:rPr>
                <w:rFonts w:ascii="Segoe UI" w:eastAsia="Times New Roman" w:hAnsi="Segoe UI" w:cs="Segoe UI"/>
                <w:color w:val="000000"/>
                <w:sz w:val="18"/>
                <w:szCs w:val="18"/>
                <w:lang w:eastAsia="en-NZ"/>
              </w:rPr>
            </w:pPr>
            <w:proofErr w:type="gramStart"/>
            <w:r w:rsidRPr="00C52D06">
              <w:rPr>
                <w:rFonts w:ascii="Segoe UI" w:eastAsia="Times New Roman" w:hAnsi="Segoe UI" w:cs="Segoe UI"/>
                <w:color w:val="000000"/>
                <w:sz w:val="18"/>
                <w:szCs w:val="18"/>
                <w:lang w:eastAsia="en-NZ"/>
              </w:rPr>
              <w:t>Other</w:t>
            </w:r>
            <w:proofErr w:type="gramEnd"/>
            <w:r w:rsidRPr="00C52D06">
              <w:rPr>
                <w:rFonts w:ascii="Segoe UI" w:eastAsia="Times New Roman" w:hAnsi="Segoe UI" w:cs="Segoe UI"/>
                <w:color w:val="000000"/>
                <w:sz w:val="18"/>
                <w:szCs w:val="18"/>
                <w:lang w:eastAsia="en-NZ"/>
              </w:rPr>
              <w:t xml:space="preserve"> closed prostatectomy</w:t>
            </w:r>
          </w:p>
        </w:tc>
        <w:tc>
          <w:tcPr>
            <w:tcW w:w="4840" w:type="dxa"/>
            <w:tcBorders>
              <w:top w:val="nil"/>
              <w:left w:val="nil"/>
              <w:bottom w:val="single" w:sz="8" w:space="0" w:color="A6A6A6"/>
              <w:right w:val="nil"/>
            </w:tcBorders>
            <w:shd w:val="clear" w:color="auto" w:fill="auto"/>
            <w:vAlign w:val="center"/>
            <w:hideMark/>
          </w:tcPr>
          <w:p w14:paraId="2B97ACE4" w14:textId="1D386D34" w:rsidR="00C52D06" w:rsidRPr="00C52D06" w:rsidRDefault="00C52D06" w:rsidP="00C52D06">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 with bladder neck reconstruction and pelvic lymphadenectomy</w:t>
            </w:r>
          </w:p>
        </w:tc>
      </w:tr>
      <w:tr w:rsidR="00C52D06" w:rsidRPr="00C52D06" w14:paraId="3E55DD44" w14:textId="77777777" w:rsidTr="00C52D06">
        <w:trPr>
          <w:trHeight w:val="315"/>
        </w:trPr>
        <w:tc>
          <w:tcPr>
            <w:tcW w:w="1280" w:type="dxa"/>
            <w:tcBorders>
              <w:top w:val="nil"/>
              <w:left w:val="nil"/>
              <w:bottom w:val="single" w:sz="8" w:space="0" w:color="A6A6A6"/>
              <w:right w:val="nil"/>
            </w:tcBorders>
            <w:shd w:val="clear" w:color="auto" w:fill="auto"/>
            <w:vAlign w:val="center"/>
            <w:hideMark/>
          </w:tcPr>
          <w:p w14:paraId="798C83D7" w14:textId="77777777" w:rsidR="00C52D06" w:rsidRPr="00C52D06" w:rsidRDefault="00C52D06" w:rsidP="00C52D06">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3720900</w:t>
            </w:r>
          </w:p>
        </w:tc>
        <w:tc>
          <w:tcPr>
            <w:tcW w:w="3060" w:type="dxa"/>
            <w:tcBorders>
              <w:top w:val="nil"/>
              <w:left w:val="nil"/>
              <w:bottom w:val="single" w:sz="8" w:space="0" w:color="A6A6A6"/>
              <w:right w:val="nil"/>
            </w:tcBorders>
            <w:shd w:val="clear" w:color="auto" w:fill="auto"/>
            <w:vAlign w:val="center"/>
            <w:hideMark/>
          </w:tcPr>
          <w:p w14:paraId="1EAABE87" w14:textId="77777777" w:rsidR="00C52D06" w:rsidRPr="00C52D06" w:rsidRDefault="00C52D06" w:rsidP="00C52D06">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175BF86B" w14:textId="77777777" w:rsidR="00C52D06" w:rsidRPr="00C52D06" w:rsidRDefault="00C52D06" w:rsidP="00C52D06">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w:t>
            </w:r>
          </w:p>
        </w:tc>
      </w:tr>
      <w:tr w:rsidR="00C52D06" w:rsidRPr="00C52D06" w14:paraId="313A9745" w14:textId="77777777" w:rsidTr="00C52D06">
        <w:trPr>
          <w:trHeight w:val="315"/>
        </w:trPr>
        <w:tc>
          <w:tcPr>
            <w:tcW w:w="1280" w:type="dxa"/>
            <w:tcBorders>
              <w:top w:val="nil"/>
              <w:left w:val="nil"/>
              <w:bottom w:val="single" w:sz="8" w:space="0" w:color="A6A6A6"/>
              <w:right w:val="nil"/>
            </w:tcBorders>
            <w:shd w:val="clear" w:color="auto" w:fill="auto"/>
            <w:vAlign w:val="center"/>
            <w:hideMark/>
          </w:tcPr>
          <w:p w14:paraId="7F163C9C" w14:textId="77777777" w:rsidR="00C52D06" w:rsidRPr="00C52D06" w:rsidRDefault="00C52D06" w:rsidP="00C52D06">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3720901</w:t>
            </w:r>
          </w:p>
        </w:tc>
        <w:tc>
          <w:tcPr>
            <w:tcW w:w="3060" w:type="dxa"/>
            <w:tcBorders>
              <w:top w:val="nil"/>
              <w:left w:val="nil"/>
              <w:bottom w:val="single" w:sz="8" w:space="0" w:color="A6A6A6"/>
              <w:right w:val="nil"/>
            </w:tcBorders>
            <w:shd w:val="clear" w:color="auto" w:fill="auto"/>
            <w:vAlign w:val="center"/>
            <w:hideMark/>
          </w:tcPr>
          <w:p w14:paraId="132034BF" w14:textId="77777777" w:rsidR="00C52D06" w:rsidRPr="00C52D06" w:rsidRDefault="00C52D06" w:rsidP="00C52D06">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Closed prostatectomy</w:t>
            </w:r>
          </w:p>
        </w:tc>
        <w:tc>
          <w:tcPr>
            <w:tcW w:w="4840" w:type="dxa"/>
            <w:tcBorders>
              <w:top w:val="nil"/>
              <w:left w:val="nil"/>
              <w:bottom w:val="single" w:sz="8" w:space="0" w:color="A6A6A6"/>
              <w:right w:val="nil"/>
            </w:tcBorders>
            <w:shd w:val="clear" w:color="auto" w:fill="auto"/>
            <w:vAlign w:val="center"/>
            <w:hideMark/>
          </w:tcPr>
          <w:p w14:paraId="55943177" w14:textId="77777777" w:rsidR="00C52D06" w:rsidRPr="00C52D06" w:rsidRDefault="00C52D06" w:rsidP="00C52D06">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w:t>
            </w:r>
          </w:p>
        </w:tc>
      </w:tr>
      <w:tr w:rsidR="00C52D06" w:rsidRPr="00C52D06" w14:paraId="7A503A69" w14:textId="77777777" w:rsidTr="00C52D06">
        <w:trPr>
          <w:trHeight w:val="315"/>
        </w:trPr>
        <w:tc>
          <w:tcPr>
            <w:tcW w:w="1280" w:type="dxa"/>
            <w:tcBorders>
              <w:top w:val="nil"/>
              <w:left w:val="nil"/>
              <w:bottom w:val="single" w:sz="8" w:space="0" w:color="A6A6A6"/>
              <w:right w:val="nil"/>
            </w:tcBorders>
            <w:shd w:val="clear" w:color="auto" w:fill="auto"/>
            <w:vAlign w:val="center"/>
            <w:hideMark/>
          </w:tcPr>
          <w:p w14:paraId="2FCA0144" w14:textId="77777777" w:rsidR="00C52D06" w:rsidRPr="00C52D06" w:rsidRDefault="00C52D06" w:rsidP="00C52D06">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3721000</w:t>
            </w:r>
          </w:p>
        </w:tc>
        <w:tc>
          <w:tcPr>
            <w:tcW w:w="3060" w:type="dxa"/>
            <w:tcBorders>
              <w:top w:val="nil"/>
              <w:left w:val="nil"/>
              <w:bottom w:val="single" w:sz="8" w:space="0" w:color="A6A6A6"/>
              <w:right w:val="nil"/>
            </w:tcBorders>
            <w:shd w:val="clear" w:color="auto" w:fill="auto"/>
            <w:vAlign w:val="center"/>
            <w:hideMark/>
          </w:tcPr>
          <w:p w14:paraId="739F6751" w14:textId="77777777" w:rsidR="00C52D06" w:rsidRPr="00C52D06" w:rsidRDefault="00C52D06" w:rsidP="00C52D06">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454B718E" w14:textId="77777777" w:rsidR="00C52D06" w:rsidRPr="00C52D06" w:rsidRDefault="00C52D06" w:rsidP="00C52D06">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w:t>
            </w:r>
          </w:p>
        </w:tc>
      </w:tr>
      <w:tr w:rsidR="00C52D06" w:rsidRPr="00C52D06" w14:paraId="7BAE5F60" w14:textId="77777777" w:rsidTr="00C52D06">
        <w:trPr>
          <w:trHeight w:val="495"/>
        </w:trPr>
        <w:tc>
          <w:tcPr>
            <w:tcW w:w="1280" w:type="dxa"/>
            <w:tcBorders>
              <w:top w:val="nil"/>
              <w:left w:val="nil"/>
              <w:bottom w:val="single" w:sz="8" w:space="0" w:color="A6A6A6"/>
              <w:right w:val="nil"/>
            </w:tcBorders>
            <w:shd w:val="clear" w:color="auto" w:fill="auto"/>
            <w:vAlign w:val="center"/>
            <w:hideMark/>
          </w:tcPr>
          <w:p w14:paraId="72DDC893" w14:textId="77777777" w:rsidR="00C52D06" w:rsidRPr="00C52D06" w:rsidRDefault="00C52D06" w:rsidP="00C52D06">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3721001</w:t>
            </w:r>
          </w:p>
        </w:tc>
        <w:tc>
          <w:tcPr>
            <w:tcW w:w="3060" w:type="dxa"/>
            <w:tcBorders>
              <w:top w:val="nil"/>
              <w:left w:val="nil"/>
              <w:bottom w:val="single" w:sz="8" w:space="0" w:color="A6A6A6"/>
              <w:right w:val="nil"/>
            </w:tcBorders>
            <w:shd w:val="clear" w:color="auto" w:fill="auto"/>
            <w:vAlign w:val="center"/>
            <w:hideMark/>
          </w:tcPr>
          <w:p w14:paraId="4164A81D" w14:textId="77777777" w:rsidR="00C52D06" w:rsidRPr="00C52D06" w:rsidRDefault="00C52D06" w:rsidP="00C52D06">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Closed prostatectomy</w:t>
            </w:r>
          </w:p>
        </w:tc>
        <w:tc>
          <w:tcPr>
            <w:tcW w:w="4840" w:type="dxa"/>
            <w:tcBorders>
              <w:top w:val="nil"/>
              <w:left w:val="nil"/>
              <w:bottom w:val="single" w:sz="8" w:space="0" w:color="A6A6A6"/>
              <w:right w:val="nil"/>
            </w:tcBorders>
            <w:shd w:val="clear" w:color="auto" w:fill="auto"/>
            <w:vAlign w:val="center"/>
            <w:hideMark/>
          </w:tcPr>
          <w:p w14:paraId="4D922BFD" w14:textId="77777777" w:rsidR="00C52D06" w:rsidRPr="00C52D06" w:rsidRDefault="00C52D06" w:rsidP="00C52D06">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 with bladder neck reconstruction</w:t>
            </w:r>
          </w:p>
        </w:tc>
      </w:tr>
      <w:tr w:rsidR="00C52D06" w:rsidRPr="00C52D06" w14:paraId="3F719B9B" w14:textId="77777777" w:rsidTr="00C52D06">
        <w:trPr>
          <w:trHeight w:val="495"/>
        </w:trPr>
        <w:tc>
          <w:tcPr>
            <w:tcW w:w="1280" w:type="dxa"/>
            <w:tcBorders>
              <w:top w:val="nil"/>
              <w:left w:val="nil"/>
              <w:bottom w:val="single" w:sz="8" w:space="0" w:color="A6A6A6"/>
              <w:right w:val="nil"/>
            </w:tcBorders>
            <w:shd w:val="clear" w:color="auto" w:fill="auto"/>
            <w:vAlign w:val="center"/>
            <w:hideMark/>
          </w:tcPr>
          <w:p w14:paraId="6B8DD73D" w14:textId="77777777" w:rsidR="00C52D06" w:rsidRPr="00C52D06" w:rsidRDefault="00C52D06" w:rsidP="00C52D06">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3721100</w:t>
            </w:r>
          </w:p>
        </w:tc>
        <w:tc>
          <w:tcPr>
            <w:tcW w:w="3060" w:type="dxa"/>
            <w:tcBorders>
              <w:top w:val="nil"/>
              <w:left w:val="nil"/>
              <w:bottom w:val="single" w:sz="8" w:space="0" w:color="A6A6A6"/>
              <w:right w:val="nil"/>
            </w:tcBorders>
            <w:shd w:val="clear" w:color="auto" w:fill="auto"/>
            <w:vAlign w:val="center"/>
            <w:hideMark/>
          </w:tcPr>
          <w:p w14:paraId="3B87389F" w14:textId="77777777" w:rsidR="00C52D06" w:rsidRPr="00C52D06" w:rsidRDefault="00C52D06" w:rsidP="00C52D06">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4D93F02C" w14:textId="77777777" w:rsidR="00C52D06" w:rsidRPr="00C52D06" w:rsidRDefault="00C52D06" w:rsidP="00C52D06">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 and pelvic lymphadenectomy</w:t>
            </w:r>
          </w:p>
        </w:tc>
      </w:tr>
    </w:tbl>
    <w:p w14:paraId="6C09CFF6" w14:textId="77777777" w:rsidR="00C52D06" w:rsidRPr="008529AC" w:rsidRDefault="00C52D06" w:rsidP="008529AC"/>
    <w:sectPr w:rsidR="00C52D06" w:rsidRPr="008529AC" w:rsidSect="00C271AB">
      <w:pgSz w:w="11906" w:h="16838"/>
      <w:pgMar w:top="1440" w:right="991"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901545" w14:textId="77777777" w:rsidR="00817FCB" w:rsidRDefault="00817FCB" w:rsidP="002A3BC8">
      <w:pPr>
        <w:spacing w:after="0" w:line="240" w:lineRule="auto"/>
      </w:pPr>
      <w:r>
        <w:separator/>
      </w:r>
    </w:p>
  </w:endnote>
  <w:endnote w:type="continuationSeparator" w:id="0">
    <w:p w14:paraId="1F828A41" w14:textId="77777777" w:rsidR="00817FCB" w:rsidRDefault="00817FCB" w:rsidP="002A3BC8">
      <w:pPr>
        <w:spacing w:after="0" w:line="240" w:lineRule="auto"/>
      </w:pPr>
      <w:r>
        <w:continuationSeparator/>
      </w:r>
    </w:p>
  </w:endnote>
  <w:endnote w:type="continuationNotice" w:id="1">
    <w:p w14:paraId="288E6D44" w14:textId="77777777" w:rsidR="00817FCB" w:rsidRDefault="00817F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2775158"/>
      <w:docPartObj>
        <w:docPartGallery w:val="Page Numbers (Bottom of Page)"/>
        <w:docPartUnique/>
      </w:docPartObj>
    </w:sdtPr>
    <w:sdtEndPr>
      <w:rPr>
        <w:noProof/>
      </w:rPr>
    </w:sdtEndPr>
    <w:sdtContent>
      <w:p w14:paraId="322D1740" w14:textId="77777777" w:rsidR="00817FCB" w:rsidRDefault="00817FCB" w:rsidP="004837DB">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DD61CE" w14:textId="77777777" w:rsidR="00817FCB" w:rsidRDefault="00817FCB" w:rsidP="002A3BC8">
      <w:pPr>
        <w:spacing w:after="0" w:line="240" w:lineRule="auto"/>
      </w:pPr>
      <w:r>
        <w:separator/>
      </w:r>
    </w:p>
  </w:footnote>
  <w:footnote w:type="continuationSeparator" w:id="0">
    <w:p w14:paraId="7FDBE3AC" w14:textId="77777777" w:rsidR="00817FCB" w:rsidRDefault="00817FCB" w:rsidP="002A3BC8">
      <w:pPr>
        <w:spacing w:after="0" w:line="240" w:lineRule="auto"/>
      </w:pPr>
      <w:r>
        <w:continuationSeparator/>
      </w:r>
    </w:p>
  </w:footnote>
  <w:footnote w:type="continuationNotice" w:id="1">
    <w:p w14:paraId="099503BC" w14:textId="77777777" w:rsidR="00817FCB" w:rsidRDefault="00817F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AB898" w14:textId="77777777" w:rsidR="00817FCB" w:rsidRDefault="00817F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72616"/>
    <w:multiLevelType w:val="hybridMultilevel"/>
    <w:tmpl w:val="B53E89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1E721B3"/>
    <w:multiLevelType w:val="hybridMultilevel"/>
    <w:tmpl w:val="34D4F7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68265B4"/>
    <w:multiLevelType w:val="hybridMultilevel"/>
    <w:tmpl w:val="D37613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E5456DF"/>
    <w:multiLevelType w:val="hybridMultilevel"/>
    <w:tmpl w:val="F184F7C8"/>
    <w:lvl w:ilvl="0" w:tplc="14090001">
      <w:start w:val="1"/>
      <w:numFmt w:val="bullet"/>
      <w:lvlText w:val=""/>
      <w:lvlJc w:val="left"/>
      <w:pPr>
        <w:ind w:left="2850" w:hanging="360"/>
      </w:pPr>
      <w:rPr>
        <w:rFonts w:ascii="Symbol" w:hAnsi="Symbol" w:hint="default"/>
      </w:rPr>
    </w:lvl>
    <w:lvl w:ilvl="1" w:tplc="14090003" w:tentative="1">
      <w:start w:val="1"/>
      <w:numFmt w:val="bullet"/>
      <w:lvlText w:val="o"/>
      <w:lvlJc w:val="left"/>
      <w:pPr>
        <w:ind w:left="3570" w:hanging="360"/>
      </w:pPr>
      <w:rPr>
        <w:rFonts w:ascii="Courier New" w:hAnsi="Courier New" w:cs="Courier New" w:hint="default"/>
      </w:rPr>
    </w:lvl>
    <w:lvl w:ilvl="2" w:tplc="14090005" w:tentative="1">
      <w:start w:val="1"/>
      <w:numFmt w:val="bullet"/>
      <w:lvlText w:val=""/>
      <w:lvlJc w:val="left"/>
      <w:pPr>
        <w:ind w:left="4290" w:hanging="360"/>
      </w:pPr>
      <w:rPr>
        <w:rFonts w:ascii="Wingdings" w:hAnsi="Wingdings" w:hint="default"/>
      </w:rPr>
    </w:lvl>
    <w:lvl w:ilvl="3" w:tplc="14090001" w:tentative="1">
      <w:start w:val="1"/>
      <w:numFmt w:val="bullet"/>
      <w:lvlText w:val=""/>
      <w:lvlJc w:val="left"/>
      <w:pPr>
        <w:ind w:left="5010" w:hanging="360"/>
      </w:pPr>
      <w:rPr>
        <w:rFonts w:ascii="Symbol" w:hAnsi="Symbol" w:hint="default"/>
      </w:rPr>
    </w:lvl>
    <w:lvl w:ilvl="4" w:tplc="14090003" w:tentative="1">
      <w:start w:val="1"/>
      <w:numFmt w:val="bullet"/>
      <w:lvlText w:val="o"/>
      <w:lvlJc w:val="left"/>
      <w:pPr>
        <w:ind w:left="5730" w:hanging="360"/>
      </w:pPr>
      <w:rPr>
        <w:rFonts w:ascii="Courier New" w:hAnsi="Courier New" w:cs="Courier New" w:hint="default"/>
      </w:rPr>
    </w:lvl>
    <w:lvl w:ilvl="5" w:tplc="14090005" w:tentative="1">
      <w:start w:val="1"/>
      <w:numFmt w:val="bullet"/>
      <w:lvlText w:val=""/>
      <w:lvlJc w:val="left"/>
      <w:pPr>
        <w:ind w:left="6450" w:hanging="360"/>
      </w:pPr>
      <w:rPr>
        <w:rFonts w:ascii="Wingdings" w:hAnsi="Wingdings" w:hint="default"/>
      </w:rPr>
    </w:lvl>
    <w:lvl w:ilvl="6" w:tplc="14090001" w:tentative="1">
      <w:start w:val="1"/>
      <w:numFmt w:val="bullet"/>
      <w:lvlText w:val=""/>
      <w:lvlJc w:val="left"/>
      <w:pPr>
        <w:ind w:left="7170" w:hanging="360"/>
      </w:pPr>
      <w:rPr>
        <w:rFonts w:ascii="Symbol" w:hAnsi="Symbol" w:hint="default"/>
      </w:rPr>
    </w:lvl>
    <w:lvl w:ilvl="7" w:tplc="14090003" w:tentative="1">
      <w:start w:val="1"/>
      <w:numFmt w:val="bullet"/>
      <w:lvlText w:val="o"/>
      <w:lvlJc w:val="left"/>
      <w:pPr>
        <w:ind w:left="7890" w:hanging="360"/>
      </w:pPr>
      <w:rPr>
        <w:rFonts w:ascii="Courier New" w:hAnsi="Courier New" w:cs="Courier New" w:hint="default"/>
      </w:rPr>
    </w:lvl>
    <w:lvl w:ilvl="8" w:tplc="14090005" w:tentative="1">
      <w:start w:val="1"/>
      <w:numFmt w:val="bullet"/>
      <w:lvlText w:val=""/>
      <w:lvlJc w:val="left"/>
      <w:pPr>
        <w:ind w:left="8610" w:hanging="360"/>
      </w:pPr>
      <w:rPr>
        <w:rFonts w:ascii="Wingdings" w:hAnsi="Wingdings" w:hint="default"/>
      </w:rPr>
    </w:lvl>
  </w:abstractNum>
  <w:abstractNum w:abstractNumId="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55A58A7"/>
    <w:multiLevelType w:val="hybridMultilevel"/>
    <w:tmpl w:val="5B86861C"/>
    <w:lvl w:ilvl="0" w:tplc="14090001">
      <w:start w:val="1"/>
      <w:numFmt w:val="bullet"/>
      <w:lvlText w:val=""/>
      <w:lvlJc w:val="left"/>
      <w:pPr>
        <w:ind w:left="644"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7654580"/>
    <w:multiLevelType w:val="hybridMultilevel"/>
    <w:tmpl w:val="FC7A8B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B751BB8"/>
    <w:multiLevelType w:val="hybridMultilevel"/>
    <w:tmpl w:val="3870A7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BDD16AD"/>
    <w:multiLevelType w:val="hybridMultilevel"/>
    <w:tmpl w:val="458690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DCA126F"/>
    <w:multiLevelType w:val="hybridMultilevel"/>
    <w:tmpl w:val="FF2A826C"/>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F2176C3"/>
    <w:multiLevelType w:val="hybridMultilevel"/>
    <w:tmpl w:val="9D123450"/>
    <w:lvl w:ilvl="0" w:tplc="E9948BBE">
      <w:start w:val="2"/>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F5E19B5"/>
    <w:multiLevelType w:val="hybridMultilevel"/>
    <w:tmpl w:val="CA9669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F9F47FA"/>
    <w:multiLevelType w:val="hybridMultilevel"/>
    <w:tmpl w:val="232EFA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0DE272A"/>
    <w:multiLevelType w:val="hybridMultilevel"/>
    <w:tmpl w:val="4ABA39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457459D"/>
    <w:multiLevelType w:val="hybridMultilevel"/>
    <w:tmpl w:val="9C7E24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2F10345"/>
    <w:multiLevelType w:val="hybridMultilevel"/>
    <w:tmpl w:val="2B06D2C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6BD244A"/>
    <w:multiLevelType w:val="hybridMultilevel"/>
    <w:tmpl w:val="B9B870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6F74E6F"/>
    <w:multiLevelType w:val="hybridMultilevel"/>
    <w:tmpl w:val="30FCA8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A6C748D"/>
    <w:multiLevelType w:val="hybridMultilevel"/>
    <w:tmpl w:val="17A42F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D1C2596"/>
    <w:multiLevelType w:val="hybridMultilevel"/>
    <w:tmpl w:val="E0E65502"/>
    <w:lvl w:ilvl="0" w:tplc="B8367AF6">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4053C3D"/>
    <w:multiLevelType w:val="hybridMultilevel"/>
    <w:tmpl w:val="7E449D4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A055C42"/>
    <w:multiLevelType w:val="hybridMultilevel"/>
    <w:tmpl w:val="ABB602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A7778EA"/>
    <w:multiLevelType w:val="hybridMultilevel"/>
    <w:tmpl w:val="F4BC7F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CDD12A2"/>
    <w:multiLevelType w:val="hybridMultilevel"/>
    <w:tmpl w:val="FBD015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E072F16"/>
    <w:multiLevelType w:val="hybridMultilevel"/>
    <w:tmpl w:val="546873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F6A5D48"/>
    <w:multiLevelType w:val="hybridMultilevel"/>
    <w:tmpl w:val="A8AC7F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01332C1"/>
    <w:multiLevelType w:val="hybridMultilevel"/>
    <w:tmpl w:val="B518E4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3C73D6D"/>
    <w:multiLevelType w:val="hybridMultilevel"/>
    <w:tmpl w:val="978EAA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C642189"/>
    <w:multiLevelType w:val="hybridMultilevel"/>
    <w:tmpl w:val="6BFC29B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CE87D5C"/>
    <w:multiLevelType w:val="multilevel"/>
    <w:tmpl w:val="1938C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B71116"/>
    <w:multiLevelType w:val="hybridMultilevel"/>
    <w:tmpl w:val="47D08E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1DB3B61"/>
    <w:multiLevelType w:val="hybridMultilevel"/>
    <w:tmpl w:val="68A27F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25B53C8"/>
    <w:multiLevelType w:val="hybridMultilevel"/>
    <w:tmpl w:val="C27E05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26A2084"/>
    <w:multiLevelType w:val="hybridMultilevel"/>
    <w:tmpl w:val="1C30E0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5976B2B"/>
    <w:multiLevelType w:val="hybridMultilevel"/>
    <w:tmpl w:val="316ED62A"/>
    <w:lvl w:ilvl="0" w:tplc="88767ABC">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CEC3E45"/>
    <w:multiLevelType w:val="hybridMultilevel"/>
    <w:tmpl w:val="6562C1B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FCB63FD"/>
    <w:multiLevelType w:val="hybridMultilevel"/>
    <w:tmpl w:val="48EC1332"/>
    <w:lvl w:ilvl="0" w:tplc="E9948BBE">
      <w:start w:val="2"/>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FF47B3A"/>
    <w:multiLevelType w:val="hybridMultilevel"/>
    <w:tmpl w:val="8332BD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2"/>
  </w:num>
  <w:num w:numId="2">
    <w:abstractNumId w:val="35"/>
  </w:num>
  <w:num w:numId="3">
    <w:abstractNumId w:val="19"/>
  </w:num>
  <w:num w:numId="4">
    <w:abstractNumId w:val="28"/>
  </w:num>
  <w:num w:numId="5">
    <w:abstractNumId w:val="0"/>
  </w:num>
  <w:num w:numId="6">
    <w:abstractNumId w:val="17"/>
  </w:num>
  <w:num w:numId="7">
    <w:abstractNumId w:val="7"/>
  </w:num>
  <w:num w:numId="8">
    <w:abstractNumId w:val="34"/>
  </w:num>
  <w:num w:numId="9">
    <w:abstractNumId w:val="22"/>
  </w:num>
  <w:num w:numId="10">
    <w:abstractNumId w:val="31"/>
  </w:num>
  <w:num w:numId="11">
    <w:abstractNumId w:val="16"/>
  </w:num>
  <w:num w:numId="12">
    <w:abstractNumId w:val="13"/>
  </w:num>
  <w:num w:numId="13">
    <w:abstractNumId w:val="2"/>
  </w:num>
  <w:num w:numId="14">
    <w:abstractNumId w:val="30"/>
  </w:num>
  <w:num w:numId="15">
    <w:abstractNumId w:val="12"/>
  </w:num>
  <w:num w:numId="16">
    <w:abstractNumId w:val="23"/>
  </w:num>
  <w:num w:numId="17">
    <w:abstractNumId w:val="6"/>
  </w:num>
  <w:num w:numId="18">
    <w:abstractNumId w:val="9"/>
  </w:num>
  <w:num w:numId="19">
    <w:abstractNumId w:val="2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18"/>
  </w:num>
  <w:num w:numId="31">
    <w:abstractNumId w:val="14"/>
  </w:num>
  <w:num w:numId="32">
    <w:abstractNumId w:val="27"/>
  </w:num>
  <w:num w:numId="33">
    <w:abstractNumId w:val="11"/>
  </w:num>
  <w:num w:numId="34">
    <w:abstractNumId w:val="15"/>
  </w:num>
  <w:num w:numId="35">
    <w:abstractNumId w:val="1"/>
  </w:num>
  <w:num w:numId="36">
    <w:abstractNumId w:val="29"/>
  </w:num>
  <w:num w:numId="37">
    <w:abstractNumId w:val="3"/>
  </w:num>
  <w:num w:numId="38">
    <w:abstractNumId w:val="21"/>
  </w:num>
  <w:num w:numId="39">
    <w:abstractNumId w:val="20"/>
  </w:num>
  <w:num w:numId="40">
    <w:abstractNumId w:val="5"/>
  </w:num>
  <w:num w:numId="41">
    <w:abstractNumId w:val="10"/>
  </w:num>
  <w:num w:numId="42">
    <w:abstractNumId w:val="36"/>
  </w:num>
  <w:num w:numId="43">
    <w:abstractNumId w:val="26"/>
  </w:num>
  <w:num w:numId="44">
    <w:abstractNumId w:val="37"/>
  </w:num>
  <w:num w:numId="45">
    <w:abstractNumId w:val="33"/>
  </w:num>
  <w:num w:numId="46">
    <w:abstractNumId w:val="8"/>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53F"/>
    <w:rsid w:val="00004F54"/>
    <w:rsid w:val="00006B50"/>
    <w:rsid w:val="00023AB2"/>
    <w:rsid w:val="0002467C"/>
    <w:rsid w:val="000335F1"/>
    <w:rsid w:val="00041071"/>
    <w:rsid w:val="000558DB"/>
    <w:rsid w:val="00056B16"/>
    <w:rsid w:val="00066F13"/>
    <w:rsid w:val="00074FB9"/>
    <w:rsid w:val="00080A35"/>
    <w:rsid w:val="000813A1"/>
    <w:rsid w:val="00092FEE"/>
    <w:rsid w:val="00093162"/>
    <w:rsid w:val="000A2412"/>
    <w:rsid w:val="000A311A"/>
    <w:rsid w:val="000B4271"/>
    <w:rsid w:val="000B6A93"/>
    <w:rsid w:val="000C3BBC"/>
    <w:rsid w:val="000C4429"/>
    <w:rsid w:val="000D1E92"/>
    <w:rsid w:val="000D5555"/>
    <w:rsid w:val="000E246E"/>
    <w:rsid w:val="000E4AF0"/>
    <w:rsid w:val="000E4F91"/>
    <w:rsid w:val="000E54AB"/>
    <w:rsid w:val="000F06FC"/>
    <w:rsid w:val="00105D77"/>
    <w:rsid w:val="00113672"/>
    <w:rsid w:val="00113751"/>
    <w:rsid w:val="00152004"/>
    <w:rsid w:val="00154BBF"/>
    <w:rsid w:val="001676A9"/>
    <w:rsid w:val="0017074B"/>
    <w:rsid w:val="00177A70"/>
    <w:rsid w:val="001840CE"/>
    <w:rsid w:val="001A1264"/>
    <w:rsid w:val="001C3554"/>
    <w:rsid w:val="001C461B"/>
    <w:rsid w:val="001C5208"/>
    <w:rsid w:val="001E37A6"/>
    <w:rsid w:val="001F4C09"/>
    <w:rsid w:val="001F6AA3"/>
    <w:rsid w:val="00204CE4"/>
    <w:rsid w:val="002063E8"/>
    <w:rsid w:val="00207A74"/>
    <w:rsid w:val="00213432"/>
    <w:rsid w:val="002359C3"/>
    <w:rsid w:val="00253FC4"/>
    <w:rsid w:val="00263E1C"/>
    <w:rsid w:val="002721AD"/>
    <w:rsid w:val="00274D0D"/>
    <w:rsid w:val="00277671"/>
    <w:rsid w:val="002838D3"/>
    <w:rsid w:val="00290DBE"/>
    <w:rsid w:val="00297636"/>
    <w:rsid w:val="00297657"/>
    <w:rsid w:val="002A3BC8"/>
    <w:rsid w:val="002B4BA5"/>
    <w:rsid w:val="002C360B"/>
    <w:rsid w:val="002D14D7"/>
    <w:rsid w:val="002D1BF6"/>
    <w:rsid w:val="002D4D6B"/>
    <w:rsid w:val="002E399D"/>
    <w:rsid w:val="002E4392"/>
    <w:rsid w:val="002E4BDF"/>
    <w:rsid w:val="002F497B"/>
    <w:rsid w:val="002F702B"/>
    <w:rsid w:val="00301E63"/>
    <w:rsid w:val="00301E86"/>
    <w:rsid w:val="00313334"/>
    <w:rsid w:val="003365DC"/>
    <w:rsid w:val="00336834"/>
    <w:rsid w:val="00350F72"/>
    <w:rsid w:val="0035427A"/>
    <w:rsid w:val="003568D7"/>
    <w:rsid w:val="003608DC"/>
    <w:rsid w:val="0036134B"/>
    <w:rsid w:val="00361851"/>
    <w:rsid w:val="00362946"/>
    <w:rsid w:val="003736CE"/>
    <w:rsid w:val="0037552A"/>
    <w:rsid w:val="003861BB"/>
    <w:rsid w:val="00391F89"/>
    <w:rsid w:val="00395B99"/>
    <w:rsid w:val="003A10AF"/>
    <w:rsid w:val="003A2CC6"/>
    <w:rsid w:val="003B2BA6"/>
    <w:rsid w:val="003B6471"/>
    <w:rsid w:val="003C6545"/>
    <w:rsid w:val="003D37F7"/>
    <w:rsid w:val="003D4F52"/>
    <w:rsid w:val="003F015A"/>
    <w:rsid w:val="00400B80"/>
    <w:rsid w:val="004037BE"/>
    <w:rsid w:val="004114E6"/>
    <w:rsid w:val="00414275"/>
    <w:rsid w:val="004172E6"/>
    <w:rsid w:val="0042409E"/>
    <w:rsid w:val="00424D61"/>
    <w:rsid w:val="004257FA"/>
    <w:rsid w:val="0042654E"/>
    <w:rsid w:val="0044270C"/>
    <w:rsid w:val="00443EFE"/>
    <w:rsid w:val="0044559B"/>
    <w:rsid w:val="004463AB"/>
    <w:rsid w:val="00455BF3"/>
    <w:rsid w:val="00461897"/>
    <w:rsid w:val="00471607"/>
    <w:rsid w:val="004731B5"/>
    <w:rsid w:val="00482B48"/>
    <w:rsid w:val="004837DB"/>
    <w:rsid w:val="00487615"/>
    <w:rsid w:val="00491D6F"/>
    <w:rsid w:val="004A210E"/>
    <w:rsid w:val="004A22B1"/>
    <w:rsid w:val="004A344B"/>
    <w:rsid w:val="004C18CB"/>
    <w:rsid w:val="004C3A55"/>
    <w:rsid w:val="004D553F"/>
    <w:rsid w:val="004D5F4D"/>
    <w:rsid w:val="004D60C0"/>
    <w:rsid w:val="00511614"/>
    <w:rsid w:val="00512CD5"/>
    <w:rsid w:val="005170F0"/>
    <w:rsid w:val="00543647"/>
    <w:rsid w:val="0055119B"/>
    <w:rsid w:val="0056294B"/>
    <w:rsid w:val="005737E7"/>
    <w:rsid w:val="00574BAC"/>
    <w:rsid w:val="00580C9D"/>
    <w:rsid w:val="005835D5"/>
    <w:rsid w:val="005B062A"/>
    <w:rsid w:val="005C26B9"/>
    <w:rsid w:val="005C2DB7"/>
    <w:rsid w:val="005C3054"/>
    <w:rsid w:val="005D6FAF"/>
    <w:rsid w:val="005D746B"/>
    <w:rsid w:val="005E1846"/>
    <w:rsid w:val="005E7656"/>
    <w:rsid w:val="005F3451"/>
    <w:rsid w:val="006074B8"/>
    <w:rsid w:val="00614CDA"/>
    <w:rsid w:val="00631B0F"/>
    <w:rsid w:val="00635684"/>
    <w:rsid w:val="006454B3"/>
    <w:rsid w:val="00652E60"/>
    <w:rsid w:val="00655398"/>
    <w:rsid w:val="006724E7"/>
    <w:rsid w:val="006B17C5"/>
    <w:rsid w:val="006C6CC8"/>
    <w:rsid w:val="006C78E7"/>
    <w:rsid w:val="006C7B8B"/>
    <w:rsid w:val="006D1F13"/>
    <w:rsid w:val="006D4241"/>
    <w:rsid w:val="006D5C70"/>
    <w:rsid w:val="00710DCA"/>
    <w:rsid w:val="007154D3"/>
    <w:rsid w:val="007164B6"/>
    <w:rsid w:val="00727A72"/>
    <w:rsid w:val="007322E4"/>
    <w:rsid w:val="0074319D"/>
    <w:rsid w:val="0076192F"/>
    <w:rsid w:val="007828C3"/>
    <w:rsid w:val="007A2FD1"/>
    <w:rsid w:val="007B0F3F"/>
    <w:rsid w:val="007B267C"/>
    <w:rsid w:val="007D0E44"/>
    <w:rsid w:val="007E66A8"/>
    <w:rsid w:val="007F1C79"/>
    <w:rsid w:val="008161AA"/>
    <w:rsid w:val="0081753C"/>
    <w:rsid w:val="00817FCB"/>
    <w:rsid w:val="008329F0"/>
    <w:rsid w:val="00833C0F"/>
    <w:rsid w:val="008410D5"/>
    <w:rsid w:val="00847F02"/>
    <w:rsid w:val="008529AC"/>
    <w:rsid w:val="008554F6"/>
    <w:rsid w:val="00855AE4"/>
    <w:rsid w:val="00862072"/>
    <w:rsid w:val="00864F22"/>
    <w:rsid w:val="008678C6"/>
    <w:rsid w:val="00871D83"/>
    <w:rsid w:val="00884108"/>
    <w:rsid w:val="008A4144"/>
    <w:rsid w:val="008A634D"/>
    <w:rsid w:val="008B0223"/>
    <w:rsid w:val="008B113E"/>
    <w:rsid w:val="008B22E1"/>
    <w:rsid w:val="008C42B5"/>
    <w:rsid w:val="008C6F0D"/>
    <w:rsid w:val="008C74E6"/>
    <w:rsid w:val="008E3A50"/>
    <w:rsid w:val="008E5342"/>
    <w:rsid w:val="008F2A3F"/>
    <w:rsid w:val="008F5DD2"/>
    <w:rsid w:val="008F5FEB"/>
    <w:rsid w:val="00900343"/>
    <w:rsid w:val="009005D6"/>
    <w:rsid w:val="00905E7A"/>
    <w:rsid w:val="009200E5"/>
    <w:rsid w:val="00921835"/>
    <w:rsid w:val="00922033"/>
    <w:rsid w:val="009229D7"/>
    <w:rsid w:val="00933AAB"/>
    <w:rsid w:val="009342B7"/>
    <w:rsid w:val="00956D52"/>
    <w:rsid w:val="00961FA6"/>
    <w:rsid w:val="00964135"/>
    <w:rsid w:val="00976DFA"/>
    <w:rsid w:val="00981B50"/>
    <w:rsid w:val="00983791"/>
    <w:rsid w:val="009A3225"/>
    <w:rsid w:val="009A5C28"/>
    <w:rsid w:val="009A7397"/>
    <w:rsid w:val="009B2F1F"/>
    <w:rsid w:val="009D0E39"/>
    <w:rsid w:val="009D3397"/>
    <w:rsid w:val="009D6453"/>
    <w:rsid w:val="009E3C09"/>
    <w:rsid w:val="009F3829"/>
    <w:rsid w:val="00A125C3"/>
    <w:rsid w:val="00A12DC9"/>
    <w:rsid w:val="00A14D45"/>
    <w:rsid w:val="00A1769A"/>
    <w:rsid w:val="00A23772"/>
    <w:rsid w:val="00A26AAA"/>
    <w:rsid w:val="00A317C2"/>
    <w:rsid w:val="00A36912"/>
    <w:rsid w:val="00A36B7A"/>
    <w:rsid w:val="00A412C8"/>
    <w:rsid w:val="00A41994"/>
    <w:rsid w:val="00A47229"/>
    <w:rsid w:val="00A50F0F"/>
    <w:rsid w:val="00A61C54"/>
    <w:rsid w:val="00A62F80"/>
    <w:rsid w:val="00A67B13"/>
    <w:rsid w:val="00A73ED4"/>
    <w:rsid w:val="00A8203F"/>
    <w:rsid w:val="00A85CEC"/>
    <w:rsid w:val="00A87204"/>
    <w:rsid w:val="00A87412"/>
    <w:rsid w:val="00A915F8"/>
    <w:rsid w:val="00AB013B"/>
    <w:rsid w:val="00AB0320"/>
    <w:rsid w:val="00AB3739"/>
    <w:rsid w:val="00AB5BEA"/>
    <w:rsid w:val="00AC065B"/>
    <w:rsid w:val="00AC246C"/>
    <w:rsid w:val="00AE4F5C"/>
    <w:rsid w:val="00AE6D1B"/>
    <w:rsid w:val="00AF0C17"/>
    <w:rsid w:val="00AF5658"/>
    <w:rsid w:val="00AF6598"/>
    <w:rsid w:val="00AF7CFF"/>
    <w:rsid w:val="00B06C64"/>
    <w:rsid w:val="00B2271A"/>
    <w:rsid w:val="00B25DE9"/>
    <w:rsid w:val="00B407D1"/>
    <w:rsid w:val="00B42B29"/>
    <w:rsid w:val="00B5230E"/>
    <w:rsid w:val="00B56335"/>
    <w:rsid w:val="00B57256"/>
    <w:rsid w:val="00B6578F"/>
    <w:rsid w:val="00B715E7"/>
    <w:rsid w:val="00B76364"/>
    <w:rsid w:val="00B80D55"/>
    <w:rsid w:val="00BA763E"/>
    <w:rsid w:val="00BB2F4A"/>
    <w:rsid w:val="00BB759D"/>
    <w:rsid w:val="00BF4D3E"/>
    <w:rsid w:val="00BF6FF9"/>
    <w:rsid w:val="00C01199"/>
    <w:rsid w:val="00C117E9"/>
    <w:rsid w:val="00C125E5"/>
    <w:rsid w:val="00C158EA"/>
    <w:rsid w:val="00C176C4"/>
    <w:rsid w:val="00C261D3"/>
    <w:rsid w:val="00C271AB"/>
    <w:rsid w:val="00C30792"/>
    <w:rsid w:val="00C31887"/>
    <w:rsid w:val="00C451BE"/>
    <w:rsid w:val="00C454EE"/>
    <w:rsid w:val="00C47D3F"/>
    <w:rsid w:val="00C47DF3"/>
    <w:rsid w:val="00C52D06"/>
    <w:rsid w:val="00C86CBF"/>
    <w:rsid w:val="00C92FA5"/>
    <w:rsid w:val="00CA0C5A"/>
    <w:rsid w:val="00CA12EB"/>
    <w:rsid w:val="00CA5926"/>
    <w:rsid w:val="00CA6B5F"/>
    <w:rsid w:val="00CB5153"/>
    <w:rsid w:val="00CC108E"/>
    <w:rsid w:val="00CC7E67"/>
    <w:rsid w:val="00CD12AC"/>
    <w:rsid w:val="00CD578E"/>
    <w:rsid w:val="00CE1A01"/>
    <w:rsid w:val="00CE7E15"/>
    <w:rsid w:val="00D06C61"/>
    <w:rsid w:val="00D104EA"/>
    <w:rsid w:val="00D23322"/>
    <w:rsid w:val="00D25909"/>
    <w:rsid w:val="00D40631"/>
    <w:rsid w:val="00D44463"/>
    <w:rsid w:val="00D46F50"/>
    <w:rsid w:val="00D550B6"/>
    <w:rsid w:val="00D70CF8"/>
    <w:rsid w:val="00D81558"/>
    <w:rsid w:val="00D948EA"/>
    <w:rsid w:val="00D97D1A"/>
    <w:rsid w:val="00DA0A94"/>
    <w:rsid w:val="00DB3097"/>
    <w:rsid w:val="00DC24D7"/>
    <w:rsid w:val="00DC5031"/>
    <w:rsid w:val="00DD3DC2"/>
    <w:rsid w:val="00DD4A97"/>
    <w:rsid w:val="00DD7427"/>
    <w:rsid w:val="00DE0774"/>
    <w:rsid w:val="00E03D52"/>
    <w:rsid w:val="00E049E0"/>
    <w:rsid w:val="00E17C67"/>
    <w:rsid w:val="00E26923"/>
    <w:rsid w:val="00E32905"/>
    <w:rsid w:val="00E33F6D"/>
    <w:rsid w:val="00E42052"/>
    <w:rsid w:val="00E46BB1"/>
    <w:rsid w:val="00E52FAE"/>
    <w:rsid w:val="00E5629D"/>
    <w:rsid w:val="00E56888"/>
    <w:rsid w:val="00E666E4"/>
    <w:rsid w:val="00E70005"/>
    <w:rsid w:val="00E72B5F"/>
    <w:rsid w:val="00E811CE"/>
    <w:rsid w:val="00E81BDE"/>
    <w:rsid w:val="00E86B97"/>
    <w:rsid w:val="00E9065A"/>
    <w:rsid w:val="00EA4219"/>
    <w:rsid w:val="00EA5A01"/>
    <w:rsid w:val="00EB28C1"/>
    <w:rsid w:val="00EB2B17"/>
    <w:rsid w:val="00EB4251"/>
    <w:rsid w:val="00EB5437"/>
    <w:rsid w:val="00EB7357"/>
    <w:rsid w:val="00EE5D8D"/>
    <w:rsid w:val="00EF5BA7"/>
    <w:rsid w:val="00F0747B"/>
    <w:rsid w:val="00F12055"/>
    <w:rsid w:val="00F1598E"/>
    <w:rsid w:val="00F27CE6"/>
    <w:rsid w:val="00F35A5C"/>
    <w:rsid w:val="00F60A04"/>
    <w:rsid w:val="00F62620"/>
    <w:rsid w:val="00F72F09"/>
    <w:rsid w:val="00F7692E"/>
    <w:rsid w:val="00F94352"/>
    <w:rsid w:val="00FA13AC"/>
    <w:rsid w:val="00FC7F91"/>
    <w:rsid w:val="00FD7797"/>
    <w:rsid w:val="00FD7E6B"/>
    <w:rsid w:val="00FE10DD"/>
    <w:rsid w:val="00FE3795"/>
    <w:rsid w:val="00FE4438"/>
    <w:rsid w:val="00FF4FCA"/>
    <w:rsid w:val="00FF6DC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611F7C"/>
  <w15:chartTrackingRefBased/>
  <w15:docId w15:val="{5EC3EF9A-4969-4FBC-B45F-B3BEB6D4D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294B"/>
  </w:style>
  <w:style w:type="paragraph" w:styleId="Heading1">
    <w:name w:val="heading 1"/>
    <w:basedOn w:val="Normal"/>
    <w:next w:val="Normal"/>
    <w:link w:val="Heading1Char"/>
    <w:uiPriority w:val="9"/>
    <w:qFormat/>
    <w:rsid w:val="00AF0C17"/>
    <w:pPr>
      <w:keepNext/>
      <w:keepLines/>
      <w:pBdr>
        <w:bottom w:val="single" w:sz="12" w:space="1" w:color="auto"/>
      </w:pBdr>
      <w:spacing w:before="240" w:after="120"/>
      <w:outlineLvl w:val="0"/>
    </w:pPr>
    <w:rPr>
      <w:rFonts w:ascii="Segoe UI" w:eastAsiaTheme="majorEastAsia" w:hAnsi="Segoe UI" w:cstheme="majorBidi"/>
      <w:b/>
      <w:sz w:val="52"/>
      <w:szCs w:val="32"/>
    </w:rPr>
  </w:style>
  <w:style w:type="paragraph" w:styleId="Heading2">
    <w:name w:val="heading 2"/>
    <w:basedOn w:val="Normal"/>
    <w:next w:val="Normal"/>
    <w:link w:val="Heading2Char"/>
    <w:uiPriority w:val="9"/>
    <w:unhideWhenUsed/>
    <w:qFormat/>
    <w:rsid w:val="000A2412"/>
    <w:pPr>
      <w:keepNext/>
      <w:keepLines/>
      <w:spacing w:before="40" w:after="0"/>
      <w:outlineLvl w:val="1"/>
    </w:pPr>
    <w:rPr>
      <w:rFonts w:ascii="Segoe UI" w:eastAsiaTheme="majorEastAsia" w:hAnsi="Segoe UI" w:cstheme="majorBidi"/>
      <w:b/>
      <w:sz w:val="32"/>
      <w:szCs w:val="26"/>
    </w:rPr>
  </w:style>
  <w:style w:type="paragraph" w:styleId="Heading3">
    <w:name w:val="heading 3"/>
    <w:basedOn w:val="Normal"/>
    <w:next w:val="Normal"/>
    <w:link w:val="Heading3Char"/>
    <w:uiPriority w:val="9"/>
    <w:unhideWhenUsed/>
    <w:qFormat/>
    <w:rsid w:val="000A2412"/>
    <w:pPr>
      <w:keepNext/>
      <w:keepLines/>
      <w:spacing w:before="40" w:after="0"/>
      <w:outlineLvl w:val="2"/>
    </w:pPr>
    <w:rPr>
      <w:rFonts w:asciiTheme="majorHAnsi" w:eastAsiaTheme="majorEastAsia" w:hAnsiTheme="majorHAnsi" w:cstheme="majorBidi"/>
      <w:b/>
      <w:sz w:val="28"/>
      <w:szCs w:val="24"/>
    </w:rPr>
  </w:style>
  <w:style w:type="paragraph" w:styleId="Heading4">
    <w:name w:val="heading 4"/>
    <w:basedOn w:val="Normal"/>
    <w:next w:val="Normal"/>
    <w:link w:val="Heading4Char"/>
    <w:uiPriority w:val="9"/>
    <w:semiHidden/>
    <w:unhideWhenUsed/>
    <w:qFormat/>
    <w:rsid w:val="00C86CBF"/>
    <w:pPr>
      <w:keepNext/>
      <w:keepLines/>
      <w:spacing w:before="40" w:after="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unhideWhenUsed/>
    <w:qFormat/>
    <w:rsid w:val="0056294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6294B"/>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6294B"/>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6294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6294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A4219"/>
    <w:pPr>
      <w:spacing w:after="0" w:line="240" w:lineRule="auto"/>
      <w:contextualSpacing/>
    </w:pPr>
    <w:rPr>
      <w:rFonts w:asciiTheme="majorHAnsi" w:eastAsiaTheme="majorEastAsia" w:hAnsiTheme="majorHAnsi" w:cstheme="majorBidi"/>
      <w:spacing w:val="-10"/>
      <w:kern w:val="28"/>
      <w:sz w:val="72"/>
      <w:szCs w:val="56"/>
    </w:rPr>
  </w:style>
  <w:style w:type="character" w:customStyle="1" w:styleId="TitleChar">
    <w:name w:val="Title Char"/>
    <w:basedOn w:val="DefaultParagraphFont"/>
    <w:link w:val="Title"/>
    <w:uiPriority w:val="10"/>
    <w:rsid w:val="00EA4219"/>
    <w:rPr>
      <w:rFonts w:asciiTheme="majorHAnsi" w:eastAsiaTheme="majorEastAsia" w:hAnsiTheme="majorHAnsi" w:cstheme="majorBidi"/>
      <w:spacing w:val="-10"/>
      <w:kern w:val="28"/>
      <w:sz w:val="72"/>
      <w:szCs w:val="56"/>
    </w:rPr>
  </w:style>
  <w:style w:type="character" w:customStyle="1" w:styleId="Heading1Char">
    <w:name w:val="Heading 1 Char"/>
    <w:basedOn w:val="DefaultParagraphFont"/>
    <w:link w:val="Heading1"/>
    <w:uiPriority w:val="9"/>
    <w:rsid w:val="00AF0C17"/>
    <w:rPr>
      <w:rFonts w:ascii="Segoe UI" w:eastAsiaTheme="majorEastAsia" w:hAnsi="Segoe UI" w:cstheme="majorBidi"/>
      <w:b/>
      <w:sz w:val="52"/>
      <w:szCs w:val="32"/>
    </w:rPr>
  </w:style>
  <w:style w:type="character" w:customStyle="1" w:styleId="Heading2Char">
    <w:name w:val="Heading 2 Char"/>
    <w:basedOn w:val="DefaultParagraphFont"/>
    <w:link w:val="Heading2"/>
    <w:uiPriority w:val="9"/>
    <w:rsid w:val="000A2412"/>
    <w:rPr>
      <w:rFonts w:ascii="Segoe UI" w:eastAsiaTheme="majorEastAsia" w:hAnsi="Segoe UI" w:cstheme="majorBidi"/>
      <w:b/>
      <w:sz w:val="32"/>
      <w:szCs w:val="26"/>
    </w:rPr>
  </w:style>
  <w:style w:type="paragraph" w:styleId="BalloonText">
    <w:name w:val="Balloon Text"/>
    <w:basedOn w:val="Normal"/>
    <w:link w:val="BalloonTextChar"/>
    <w:uiPriority w:val="99"/>
    <w:semiHidden/>
    <w:unhideWhenUsed/>
    <w:rsid w:val="004A21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210E"/>
    <w:rPr>
      <w:rFonts w:ascii="Segoe UI" w:hAnsi="Segoe UI" w:cs="Segoe UI"/>
      <w:sz w:val="18"/>
      <w:szCs w:val="18"/>
    </w:rPr>
  </w:style>
  <w:style w:type="paragraph" w:styleId="ListParagraph">
    <w:name w:val="List Paragraph"/>
    <w:basedOn w:val="Normal"/>
    <w:link w:val="ListParagraphChar"/>
    <w:uiPriority w:val="34"/>
    <w:qFormat/>
    <w:rsid w:val="0056294B"/>
    <w:pPr>
      <w:ind w:left="720"/>
      <w:contextualSpacing/>
    </w:pPr>
  </w:style>
  <w:style w:type="character" w:customStyle="1" w:styleId="ListParagraphChar">
    <w:name w:val="List Paragraph Char"/>
    <w:basedOn w:val="DefaultParagraphFont"/>
    <w:link w:val="ListParagraph"/>
    <w:uiPriority w:val="34"/>
    <w:locked/>
    <w:rsid w:val="004A210E"/>
  </w:style>
  <w:style w:type="paragraph" w:styleId="Caption">
    <w:name w:val="caption"/>
    <w:basedOn w:val="Normal"/>
    <w:next w:val="Normal"/>
    <w:uiPriority w:val="35"/>
    <w:unhideWhenUsed/>
    <w:qFormat/>
    <w:rsid w:val="00350F72"/>
    <w:pPr>
      <w:spacing w:before="60" w:after="120" w:line="240" w:lineRule="auto"/>
    </w:pPr>
    <w:rPr>
      <w:b/>
      <w:iCs/>
      <w:szCs w:val="18"/>
    </w:rPr>
  </w:style>
  <w:style w:type="paragraph" w:styleId="Header">
    <w:name w:val="header"/>
    <w:basedOn w:val="Normal"/>
    <w:link w:val="HeaderChar"/>
    <w:uiPriority w:val="99"/>
    <w:unhideWhenUsed/>
    <w:rsid w:val="002A3B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3BC8"/>
  </w:style>
  <w:style w:type="paragraph" w:styleId="Footer">
    <w:name w:val="footer"/>
    <w:basedOn w:val="Normal"/>
    <w:link w:val="FooterChar"/>
    <w:uiPriority w:val="99"/>
    <w:unhideWhenUsed/>
    <w:rsid w:val="002A3B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3BC8"/>
  </w:style>
  <w:style w:type="character" w:customStyle="1" w:styleId="Heading3Char">
    <w:name w:val="Heading 3 Char"/>
    <w:basedOn w:val="DefaultParagraphFont"/>
    <w:link w:val="Heading3"/>
    <w:uiPriority w:val="9"/>
    <w:rsid w:val="000A2412"/>
    <w:rPr>
      <w:rFonts w:asciiTheme="majorHAnsi" w:eastAsiaTheme="majorEastAsia" w:hAnsiTheme="majorHAnsi" w:cstheme="majorBidi"/>
      <w:b/>
      <w:sz w:val="28"/>
      <w:szCs w:val="24"/>
    </w:rPr>
  </w:style>
  <w:style w:type="paragraph" w:styleId="NoSpacing">
    <w:name w:val="No Spacing"/>
    <w:uiPriority w:val="1"/>
    <w:qFormat/>
    <w:rsid w:val="0056294B"/>
    <w:pPr>
      <w:spacing w:after="0" w:line="240" w:lineRule="auto"/>
    </w:pPr>
  </w:style>
  <w:style w:type="table" w:styleId="TableGrid">
    <w:name w:val="Table Grid"/>
    <w:basedOn w:val="TableNormal"/>
    <w:uiPriority w:val="39"/>
    <w:rsid w:val="002D4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D4D6B"/>
    <w:rPr>
      <w:sz w:val="16"/>
      <w:szCs w:val="16"/>
    </w:rPr>
  </w:style>
  <w:style w:type="paragraph" w:styleId="CommentText">
    <w:name w:val="annotation text"/>
    <w:basedOn w:val="Normal"/>
    <w:link w:val="CommentTextChar"/>
    <w:uiPriority w:val="99"/>
    <w:unhideWhenUsed/>
    <w:rsid w:val="002D4D6B"/>
    <w:pPr>
      <w:spacing w:line="240" w:lineRule="auto"/>
    </w:pPr>
    <w:rPr>
      <w:sz w:val="20"/>
      <w:szCs w:val="20"/>
    </w:rPr>
  </w:style>
  <w:style w:type="character" w:customStyle="1" w:styleId="CommentTextChar">
    <w:name w:val="Comment Text Char"/>
    <w:basedOn w:val="DefaultParagraphFont"/>
    <w:link w:val="CommentText"/>
    <w:uiPriority w:val="99"/>
    <w:rsid w:val="002D4D6B"/>
    <w:rPr>
      <w:sz w:val="20"/>
      <w:szCs w:val="20"/>
    </w:rPr>
  </w:style>
  <w:style w:type="paragraph" w:styleId="CommentSubject">
    <w:name w:val="annotation subject"/>
    <w:basedOn w:val="CommentText"/>
    <w:next w:val="CommentText"/>
    <w:link w:val="CommentSubjectChar"/>
    <w:uiPriority w:val="99"/>
    <w:semiHidden/>
    <w:unhideWhenUsed/>
    <w:rsid w:val="002D4D6B"/>
    <w:rPr>
      <w:b/>
      <w:bCs/>
    </w:rPr>
  </w:style>
  <w:style w:type="character" w:customStyle="1" w:styleId="CommentSubjectChar">
    <w:name w:val="Comment Subject Char"/>
    <w:basedOn w:val="CommentTextChar"/>
    <w:link w:val="CommentSubject"/>
    <w:uiPriority w:val="99"/>
    <w:semiHidden/>
    <w:rsid w:val="002D4D6B"/>
    <w:rPr>
      <w:b/>
      <w:bCs/>
      <w:sz w:val="20"/>
      <w:szCs w:val="20"/>
    </w:rPr>
  </w:style>
  <w:style w:type="paragraph" w:styleId="NormalWeb">
    <w:name w:val="Normal (Web)"/>
    <w:basedOn w:val="Normal"/>
    <w:uiPriority w:val="99"/>
    <w:semiHidden/>
    <w:unhideWhenUsed/>
    <w:rsid w:val="001C461B"/>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4Char">
    <w:name w:val="Heading 4 Char"/>
    <w:basedOn w:val="DefaultParagraphFont"/>
    <w:link w:val="Heading4"/>
    <w:uiPriority w:val="9"/>
    <w:semiHidden/>
    <w:rsid w:val="00C86CBF"/>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56294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6294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6294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6294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6294B"/>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qFormat/>
    <w:rsid w:val="0056294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6294B"/>
    <w:rPr>
      <w:rFonts w:eastAsiaTheme="minorEastAsia"/>
      <w:color w:val="5A5A5A" w:themeColor="text1" w:themeTint="A5"/>
      <w:spacing w:val="15"/>
    </w:rPr>
  </w:style>
  <w:style w:type="character" w:styleId="Strong">
    <w:name w:val="Strong"/>
    <w:basedOn w:val="DefaultParagraphFont"/>
    <w:uiPriority w:val="22"/>
    <w:qFormat/>
    <w:rsid w:val="0056294B"/>
    <w:rPr>
      <w:b/>
      <w:bCs/>
    </w:rPr>
  </w:style>
  <w:style w:type="character" w:styleId="Emphasis">
    <w:name w:val="Emphasis"/>
    <w:basedOn w:val="DefaultParagraphFont"/>
    <w:uiPriority w:val="20"/>
    <w:qFormat/>
    <w:rsid w:val="0056294B"/>
    <w:rPr>
      <w:i/>
      <w:iCs/>
    </w:rPr>
  </w:style>
  <w:style w:type="paragraph" w:styleId="Quote">
    <w:name w:val="Quote"/>
    <w:basedOn w:val="Normal"/>
    <w:next w:val="Normal"/>
    <w:link w:val="QuoteChar"/>
    <w:uiPriority w:val="29"/>
    <w:qFormat/>
    <w:rsid w:val="0056294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6294B"/>
    <w:rPr>
      <w:i/>
      <w:iCs/>
      <w:color w:val="404040" w:themeColor="text1" w:themeTint="BF"/>
    </w:rPr>
  </w:style>
  <w:style w:type="paragraph" w:styleId="IntenseQuote">
    <w:name w:val="Intense Quote"/>
    <w:basedOn w:val="Normal"/>
    <w:next w:val="Normal"/>
    <w:link w:val="IntenseQuoteChar"/>
    <w:uiPriority w:val="30"/>
    <w:qFormat/>
    <w:rsid w:val="0056294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6294B"/>
    <w:rPr>
      <w:i/>
      <w:iCs/>
      <w:color w:val="4472C4" w:themeColor="accent1"/>
    </w:rPr>
  </w:style>
  <w:style w:type="character" w:styleId="SubtleEmphasis">
    <w:name w:val="Subtle Emphasis"/>
    <w:basedOn w:val="DefaultParagraphFont"/>
    <w:uiPriority w:val="19"/>
    <w:qFormat/>
    <w:rsid w:val="0056294B"/>
    <w:rPr>
      <w:i/>
      <w:iCs/>
      <w:color w:val="404040" w:themeColor="text1" w:themeTint="BF"/>
    </w:rPr>
  </w:style>
  <w:style w:type="character" w:styleId="IntenseEmphasis">
    <w:name w:val="Intense Emphasis"/>
    <w:basedOn w:val="DefaultParagraphFont"/>
    <w:uiPriority w:val="21"/>
    <w:qFormat/>
    <w:rsid w:val="0056294B"/>
    <w:rPr>
      <w:i/>
      <w:iCs/>
      <w:color w:val="4472C4" w:themeColor="accent1"/>
    </w:rPr>
  </w:style>
  <w:style w:type="character" w:styleId="SubtleReference">
    <w:name w:val="Subtle Reference"/>
    <w:basedOn w:val="DefaultParagraphFont"/>
    <w:uiPriority w:val="31"/>
    <w:qFormat/>
    <w:rsid w:val="0056294B"/>
    <w:rPr>
      <w:smallCaps/>
      <w:color w:val="5A5A5A" w:themeColor="text1" w:themeTint="A5"/>
    </w:rPr>
  </w:style>
  <w:style w:type="character" w:styleId="IntenseReference">
    <w:name w:val="Intense Reference"/>
    <w:basedOn w:val="DefaultParagraphFont"/>
    <w:uiPriority w:val="32"/>
    <w:qFormat/>
    <w:rsid w:val="0056294B"/>
    <w:rPr>
      <w:b/>
      <w:bCs/>
      <w:smallCaps/>
      <w:color w:val="4472C4" w:themeColor="accent1"/>
      <w:spacing w:val="5"/>
    </w:rPr>
  </w:style>
  <w:style w:type="character" w:styleId="BookTitle">
    <w:name w:val="Book Title"/>
    <w:basedOn w:val="DefaultParagraphFont"/>
    <w:uiPriority w:val="33"/>
    <w:qFormat/>
    <w:rsid w:val="0056294B"/>
    <w:rPr>
      <w:b/>
      <w:bCs/>
      <w:i/>
      <w:iCs/>
      <w:spacing w:val="5"/>
    </w:rPr>
  </w:style>
  <w:style w:type="paragraph" w:styleId="TOCHeading">
    <w:name w:val="TOC Heading"/>
    <w:basedOn w:val="Heading1"/>
    <w:next w:val="Normal"/>
    <w:uiPriority w:val="39"/>
    <w:unhideWhenUsed/>
    <w:qFormat/>
    <w:rsid w:val="0056294B"/>
    <w:pPr>
      <w:outlineLvl w:val="9"/>
    </w:pPr>
  </w:style>
  <w:style w:type="paragraph" w:customStyle="1" w:styleId="EndNoteBibliography">
    <w:name w:val="EndNote Bibliography"/>
    <w:basedOn w:val="Normal"/>
    <w:link w:val="EndNoteBibliographyChar"/>
    <w:rsid w:val="00FD7797"/>
    <w:pPr>
      <w:spacing w:before="240" w:after="0" w:line="240" w:lineRule="auto"/>
      <w:jc w:val="both"/>
    </w:pPr>
    <w:rPr>
      <w:rFonts w:ascii="Calibri Light" w:hAnsi="Calibri Light" w:cs="Calibri Light"/>
      <w:noProof/>
      <w:szCs w:val="20"/>
      <w:lang w:val="en-US"/>
    </w:rPr>
  </w:style>
  <w:style w:type="character" w:customStyle="1" w:styleId="EndNoteBibliographyChar">
    <w:name w:val="EndNote Bibliography Char"/>
    <w:basedOn w:val="DefaultParagraphFont"/>
    <w:link w:val="EndNoteBibliography"/>
    <w:rsid w:val="00FD7797"/>
    <w:rPr>
      <w:rFonts w:ascii="Calibri Light" w:hAnsi="Calibri Light" w:cs="Calibri Light"/>
      <w:noProof/>
      <w:szCs w:val="20"/>
      <w:lang w:val="en-US"/>
    </w:rPr>
  </w:style>
  <w:style w:type="paragraph" w:styleId="TOC1">
    <w:name w:val="toc 1"/>
    <w:basedOn w:val="Normal"/>
    <w:next w:val="Normal"/>
    <w:autoRedefine/>
    <w:uiPriority w:val="39"/>
    <w:unhideWhenUsed/>
    <w:rsid w:val="008E5342"/>
    <w:pPr>
      <w:tabs>
        <w:tab w:val="right" w:leader="dot" w:pos="9498"/>
      </w:tabs>
      <w:spacing w:before="120" w:after="100"/>
      <w:ind w:left="426"/>
    </w:pPr>
  </w:style>
  <w:style w:type="paragraph" w:styleId="TOC2">
    <w:name w:val="toc 2"/>
    <w:basedOn w:val="Normal"/>
    <w:next w:val="Normal"/>
    <w:autoRedefine/>
    <w:uiPriority w:val="39"/>
    <w:unhideWhenUsed/>
    <w:rsid w:val="00AF0C17"/>
    <w:pPr>
      <w:spacing w:after="100"/>
      <w:ind w:left="220"/>
    </w:pPr>
  </w:style>
  <w:style w:type="paragraph" w:customStyle="1" w:styleId="IntroHead">
    <w:name w:val="IntroHead"/>
    <w:basedOn w:val="Heading1"/>
    <w:next w:val="Normal"/>
    <w:qFormat/>
    <w:rsid w:val="00AF0C17"/>
    <w:pPr>
      <w:keepLines w:val="0"/>
      <w:pBdr>
        <w:bottom w:val="none" w:sz="0" w:space="0" w:color="auto"/>
      </w:pBdr>
      <w:spacing w:before="0" w:after="360" w:line="240" w:lineRule="auto"/>
      <w:outlineLvl w:val="9"/>
    </w:pPr>
    <w:rPr>
      <w:rFonts w:eastAsia="Times New Roman" w:cs="Times New Roman"/>
      <w:color w:val="23305D"/>
      <w:spacing w:val="-10"/>
      <w:sz w:val="72"/>
      <w:szCs w:val="20"/>
      <w:lang w:eastAsia="en-GB"/>
    </w:rPr>
  </w:style>
  <w:style w:type="character" w:styleId="Hyperlink">
    <w:name w:val="Hyperlink"/>
    <w:basedOn w:val="DefaultParagraphFont"/>
    <w:uiPriority w:val="99"/>
    <w:unhideWhenUsed/>
    <w:rsid w:val="00AF0C17"/>
    <w:rPr>
      <w:color w:val="0563C1" w:themeColor="hyperlink"/>
      <w:u w:val="single"/>
    </w:rPr>
  </w:style>
  <w:style w:type="paragraph" w:customStyle="1" w:styleId="Imprint">
    <w:name w:val="Imprint"/>
    <w:basedOn w:val="Normal"/>
    <w:next w:val="Normal"/>
    <w:qFormat/>
    <w:rsid w:val="008B0223"/>
    <w:pPr>
      <w:spacing w:after="240" w:line="240" w:lineRule="auto"/>
    </w:pPr>
    <w:rPr>
      <w:rFonts w:ascii="Segoe UI" w:eastAsia="Times New Roman" w:hAnsi="Segoe UI" w:cs="Times New Roman"/>
      <w:sz w:val="20"/>
      <w:szCs w:val="20"/>
      <w:lang w:eastAsia="en-GB"/>
    </w:rPr>
  </w:style>
  <w:style w:type="paragraph" w:styleId="Revision">
    <w:name w:val="Revision"/>
    <w:hidden/>
    <w:uiPriority w:val="99"/>
    <w:semiHidden/>
    <w:rsid w:val="00864F2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49103">
      <w:bodyDiv w:val="1"/>
      <w:marLeft w:val="0"/>
      <w:marRight w:val="0"/>
      <w:marTop w:val="0"/>
      <w:marBottom w:val="0"/>
      <w:divBdr>
        <w:top w:val="none" w:sz="0" w:space="0" w:color="auto"/>
        <w:left w:val="none" w:sz="0" w:space="0" w:color="auto"/>
        <w:bottom w:val="none" w:sz="0" w:space="0" w:color="auto"/>
        <w:right w:val="none" w:sz="0" w:space="0" w:color="auto"/>
      </w:divBdr>
    </w:div>
    <w:div w:id="127205473">
      <w:bodyDiv w:val="1"/>
      <w:marLeft w:val="0"/>
      <w:marRight w:val="0"/>
      <w:marTop w:val="0"/>
      <w:marBottom w:val="0"/>
      <w:divBdr>
        <w:top w:val="none" w:sz="0" w:space="0" w:color="auto"/>
        <w:left w:val="none" w:sz="0" w:space="0" w:color="auto"/>
        <w:bottom w:val="none" w:sz="0" w:space="0" w:color="auto"/>
        <w:right w:val="none" w:sz="0" w:space="0" w:color="auto"/>
      </w:divBdr>
    </w:div>
    <w:div w:id="201794044">
      <w:bodyDiv w:val="1"/>
      <w:marLeft w:val="0"/>
      <w:marRight w:val="0"/>
      <w:marTop w:val="0"/>
      <w:marBottom w:val="0"/>
      <w:divBdr>
        <w:top w:val="none" w:sz="0" w:space="0" w:color="auto"/>
        <w:left w:val="none" w:sz="0" w:space="0" w:color="auto"/>
        <w:bottom w:val="none" w:sz="0" w:space="0" w:color="auto"/>
        <w:right w:val="none" w:sz="0" w:space="0" w:color="auto"/>
      </w:divBdr>
      <w:divsChild>
        <w:div w:id="2095544565">
          <w:marLeft w:val="0"/>
          <w:marRight w:val="0"/>
          <w:marTop w:val="0"/>
          <w:marBottom w:val="0"/>
          <w:divBdr>
            <w:top w:val="none" w:sz="0" w:space="0" w:color="auto"/>
            <w:left w:val="none" w:sz="0" w:space="0" w:color="auto"/>
            <w:bottom w:val="none" w:sz="0" w:space="0" w:color="auto"/>
            <w:right w:val="none" w:sz="0" w:space="0" w:color="auto"/>
          </w:divBdr>
        </w:div>
        <w:div w:id="1260865914">
          <w:marLeft w:val="0"/>
          <w:marRight w:val="0"/>
          <w:marTop w:val="0"/>
          <w:marBottom w:val="0"/>
          <w:divBdr>
            <w:top w:val="none" w:sz="0" w:space="0" w:color="auto"/>
            <w:left w:val="none" w:sz="0" w:space="0" w:color="auto"/>
            <w:bottom w:val="none" w:sz="0" w:space="0" w:color="auto"/>
            <w:right w:val="none" w:sz="0" w:space="0" w:color="auto"/>
          </w:divBdr>
          <w:divsChild>
            <w:div w:id="64038847">
              <w:marLeft w:val="0"/>
              <w:marRight w:val="0"/>
              <w:marTop w:val="0"/>
              <w:marBottom w:val="0"/>
              <w:divBdr>
                <w:top w:val="none" w:sz="0" w:space="0" w:color="auto"/>
                <w:left w:val="none" w:sz="0" w:space="0" w:color="auto"/>
                <w:bottom w:val="none" w:sz="0" w:space="0" w:color="auto"/>
                <w:right w:val="none" w:sz="0" w:space="0" w:color="auto"/>
              </w:divBdr>
            </w:div>
          </w:divsChild>
        </w:div>
        <w:div w:id="1856532014">
          <w:marLeft w:val="0"/>
          <w:marRight w:val="0"/>
          <w:marTop w:val="0"/>
          <w:marBottom w:val="0"/>
          <w:divBdr>
            <w:top w:val="single" w:sz="8" w:space="3" w:color="B5C4DF"/>
            <w:left w:val="none" w:sz="0" w:space="0" w:color="auto"/>
            <w:bottom w:val="none" w:sz="0" w:space="0" w:color="auto"/>
            <w:right w:val="none" w:sz="0" w:space="0" w:color="auto"/>
          </w:divBdr>
        </w:div>
        <w:div w:id="116148664">
          <w:marLeft w:val="0"/>
          <w:marRight w:val="0"/>
          <w:marTop w:val="0"/>
          <w:marBottom w:val="0"/>
          <w:divBdr>
            <w:top w:val="none" w:sz="0" w:space="0" w:color="auto"/>
            <w:left w:val="none" w:sz="0" w:space="0" w:color="auto"/>
            <w:bottom w:val="none" w:sz="0" w:space="0" w:color="auto"/>
            <w:right w:val="none" w:sz="0" w:space="0" w:color="auto"/>
          </w:divBdr>
        </w:div>
      </w:divsChild>
    </w:div>
    <w:div w:id="213659195">
      <w:bodyDiv w:val="1"/>
      <w:marLeft w:val="0"/>
      <w:marRight w:val="0"/>
      <w:marTop w:val="0"/>
      <w:marBottom w:val="0"/>
      <w:divBdr>
        <w:top w:val="none" w:sz="0" w:space="0" w:color="auto"/>
        <w:left w:val="none" w:sz="0" w:space="0" w:color="auto"/>
        <w:bottom w:val="none" w:sz="0" w:space="0" w:color="auto"/>
        <w:right w:val="none" w:sz="0" w:space="0" w:color="auto"/>
      </w:divBdr>
    </w:div>
    <w:div w:id="245652001">
      <w:bodyDiv w:val="1"/>
      <w:marLeft w:val="0"/>
      <w:marRight w:val="0"/>
      <w:marTop w:val="0"/>
      <w:marBottom w:val="0"/>
      <w:divBdr>
        <w:top w:val="none" w:sz="0" w:space="0" w:color="auto"/>
        <w:left w:val="none" w:sz="0" w:space="0" w:color="auto"/>
        <w:bottom w:val="none" w:sz="0" w:space="0" w:color="auto"/>
        <w:right w:val="none" w:sz="0" w:space="0" w:color="auto"/>
      </w:divBdr>
    </w:div>
    <w:div w:id="291861163">
      <w:bodyDiv w:val="1"/>
      <w:marLeft w:val="0"/>
      <w:marRight w:val="0"/>
      <w:marTop w:val="0"/>
      <w:marBottom w:val="0"/>
      <w:divBdr>
        <w:top w:val="none" w:sz="0" w:space="0" w:color="auto"/>
        <w:left w:val="none" w:sz="0" w:space="0" w:color="auto"/>
        <w:bottom w:val="none" w:sz="0" w:space="0" w:color="auto"/>
        <w:right w:val="none" w:sz="0" w:space="0" w:color="auto"/>
      </w:divBdr>
    </w:div>
    <w:div w:id="468942310">
      <w:bodyDiv w:val="1"/>
      <w:marLeft w:val="0"/>
      <w:marRight w:val="0"/>
      <w:marTop w:val="0"/>
      <w:marBottom w:val="0"/>
      <w:divBdr>
        <w:top w:val="none" w:sz="0" w:space="0" w:color="auto"/>
        <w:left w:val="none" w:sz="0" w:space="0" w:color="auto"/>
        <w:bottom w:val="none" w:sz="0" w:space="0" w:color="auto"/>
        <w:right w:val="none" w:sz="0" w:space="0" w:color="auto"/>
      </w:divBdr>
    </w:div>
    <w:div w:id="619917199">
      <w:bodyDiv w:val="1"/>
      <w:marLeft w:val="0"/>
      <w:marRight w:val="0"/>
      <w:marTop w:val="0"/>
      <w:marBottom w:val="0"/>
      <w:divBdr>
        <w:top w:val="none" w:sz="0" w:space="0" w:color="auto"/>
        <w:left w:val="none" w:sz="0" w:space="0" w:color="auto"/>
        <w:bottom w:val="none" w:sz="0" w:space="0" w:color="auto"/>
        <w:right w:val="none" w:sz="0" w:space="0" w:color="auto"/>
      </w:divBdr>
    </w:div>
    <w:div w:id="725033920">
      <w:bodyDiv w:val="1"/>
      <w:marLeft w:val="0"/>
      <w:marRight w:val="0"/>
      <w:marTop w:val="0"/>
      <w:marBottom w:val="0"/>
      <w:divBdr>
        <w:top w:val="none" w:sz="0" w:space="0" w:color="auto"/>
        <w:left w:val="none" w:sz="0" w:space="0" w:color="auto"/>
        <w:bottom w:val="none" w:sz="0" w:space="0" w:color="auto"/>
        <w:right w:val="none" w:sz="0" w:space="0" w:color="auto"/>
      </w:divBdr>
    </w:div>
    <w:div w:id="833882613">
      <w:bodyDiv w:val="1"/>
      <w:marLeft w:val="0"/>
      <w:marRight w:val="0"/>
      <w:marTop w:val="0"/>
      <w:marBottom w:val="0"/>
      <w:divBdr>
        <w:top w:val="none" w:sz="0" w:space="0" w:color="auto"/>
        <w:left w:val="none" w:sz="0" w:space="0" w:color="auto"/>
        <w:bottom w:val="none" w:sz="0" w:space="0" w:color="auto"/>
        <w:right w:val="none" w:sz="0" w:space="0" w:color="auto"/>
      </w:divBdr>
    </w:div>
    <w:div w:id="859470516">
      <w:bodyDiv w:val="1"/>
      <w:marLeft w:val="0"/>
      <w:marRight w:val="0"/>
      <w:marTop w:val="0"/>
      <w:marBottom w:val="0"/>
      <w:divBdr>
        <w:top w:val="none" w:sz="0" w:space="0" w:color="auto"/>
        <w:left w:val="none" w:sz="0" w:space="0" w:color="auto"/>
        <w:bottom w:val="none" w:sz="0" w:space="0" w:color="auto"/>
        <w:right w:val="none" w:sz="0" w:space="0" w:color="auto"/>
      </w:divBdr>
    </w:div>
    <w:div w:id="896402265">
      <w:bodyDiv w:val="1"/>
      <w:marLeft w:val="0"/>
      <w:marRight w:val="0"/>
      <w:marTop w:val="0"/>
      <w:marBottom w:val="0"/>
      <w:divBdr>
        <w:top w:val="none" w:sz="0" w:space="0" w:color="auto"/>
        <w:left w:val="none" w:sz="0" w:space="0" w:color="auto"/>
        <w:bottom w:val="none" w:sz="0" w:space="0" w:color="auto"/>
        <w:right w:val="none" w:sz="0" w:space="0" w:color="auto"/>
      </w:divBdr>
    </w:div>
    <w:div w:id="932474123">
      <w:bodyDiv w:val="1"/>
      <w:marLeft w:val="0"/>
      <w:marRight w:val="0"/>
      <w:marTop w:val="0"/>
      <w:marBottom w:val="0"/>
      <w:divBdr>
        <w:top w:val="none" w:sz="0" w:space="0" w:color="auto"/>
        <w:left w:val="none" w:sz="0" w:space="0" w:color="auto"/>
        <w:bottom w:val="none" w:sz="0" w:space="0" w:color="auto"/>
        <w:right w:val="none" w:sz="0" w:space="0" w:color="auto"/>
      </w:divBdr>
    </w:div>
    <w:div w:id="970404319">
      <w:bodyDiv w:val="1"/>
      <w:marLeft w:val="0"/>
      <w:marRight w:val="0"/>
      <w:marTop w:val="0"/>
      <w:marBottom w:val="0"/>
      <w:divBdr>
        <w:top w:val="none" w:sz="0" w:space="0" w:color="auto"/>
        <w:left w:val="none" w:sz="0" w:space="0" w:color="auto"/>
        <w:bottom w:val="none" w:sz="0" w:space="0" w:color="auto"/>
        <w:right w:val="none" w:sz="0" w:space="0" w:color="auto"/>
      </w:divBdr>
    </w:div>
    <w:div w:id="1161972264">
      <w:bodyDiv w:val="1"/>
      <w:marLeft w:val="0"/>
      <w:marRight w:val="0"/>
      <w:marTop w:val="0"/>
      <w:marBottom w:val="0"/>
      <w:divBdr>
        <w:top w:val="none" w:sz="0" w:space="0" w:color="auto"/>
        <w:left w:val="none" w:sz="0" w:space="0" w:color="auto"/>
        <w:bottom w:val="none" w:sz="0" w:space="0" w:color="auto"/>
        <w:right w:val="none" w:sz="0" w:space="0" w:color="auto"/>
      </w:divBdr>
    </w:div>
    <w:div w:id="1234199091">
      <w:bodyDiv w:val="1"/>
      <w:marLeft w:val="0"/>
      <w:marRight w:val="0"/>
      <w:marTop w:val="0"/>
      <w:marBottom w:val="0"/>
      <w:divBdr>
        <w:top w:val="none" w:sz="0" w:space="0" w:color="auto"/>
        <w:left w:val="none" w:sz="0" w:space="0" w:color="auto"/>
        <w:bottom w:val="none" w:sz="0" w:space="0" w:color="auto"/>
        <w:right w:val="none" w:sz="0" w:space="0" w:color="auto"/>
      </w:divBdr>
    </w:div>
    <w:div w:id="1326396955">
      <w:bodyDiv w:val="1"/>
      <w:marLeft w:val="0"/>
      <w:marRight w:val="0"/>
      <w:marTop w:val="0"/>
      <w:marBottom w:val="0"/>
      <w:divBdr>
        <w:top w:val="none" w:sz="0" w:space="0" w:color="auto"/>
        <w:left w:val="none" w:sz="0" w:space="0" w:color="auto"/>
        <w:bottom w:val="none" w:sz="0" w:space="0" w:color="auto"/>
        <w:right w:val="none" w:sz="0" w:space="0" w:color="auto"/>
      </w:divBdr>
    </w:div>
    <w:div w:id="1329404642">
      <w:bodyDiv w:val="1"/>
      <w:marLeft w:val="0"/>
      <w:marRight w:val="0"/>
      <w:marTop w:val="0"/>
      <w:marBottom w:val="0"/>
      <w:divBdr>
        <w:top w:val="none" w:sz="0" w:space="0" w:color="auto"/>
        <w:left w:val="none" w:sz="0" w:space="0" w:color="auto"/>
        <w:bottom w:val="none" w:sz="0" w:space="0" w:color="auto"/>
        <w:right w:val="none" w:sz="0" w:space="0" w:color="auto"/>
      </w:divBdr>
    </w:div>
    <w:div w:id="1396200227">
      <w:bodyDiv w:val="1"/>
      <w:marLeft w:val="0"/>
      <w:marRight w:val="0"/>
      <w:marTop w:val="0"/>
      <w:marBottom w:val="0"/>
      <w:divBdr>
        <w:top w:val="none" w:sz="0" w:space="0" w:color="auto"/>
        <w:left w:val="none" w:sz="0" w:space="0" w:color="auto"/>
        <w:bottom w:val="none" w:sz="0" w:space="0" w:color="auto"/>
        <w:right w:val="none" w:sz="0" w:space="0" w:color="auto"/>
      </w:divBdr>
    </w:div>
    <w:div w:id="1437677437">
      <w:bodyDiv w:val="1"/>
      <w:marLeft w:val="0"/>
      <w:marRight w:val="0"/>
      <w:marTop w:val="0"/>
      <w:marBottom w:val="0"/>
      <w:divBdr>
        <w:top w:val="none" w:sz="0" w:space="0" w:color="auto"/>
        <w:left w:val="none" w:sz="0" w:space="0" w:color="auto"/>
        <w:bottom w:val="none" w:sz="0" w:space="0" w:color="auto"/>
        <w:right w:val="none" w:sz="0" w:space="0" w:color="auto"/>
      </w:divBdr>
    </w:div>
    <w:div w:id="1462261783">
      <w:bodyDiv w:val="1"/>
      <w:marLeft w:val="0"/>
      <w:marRight w:val="0"/>
      <w:marTop w:val="0"/>
      <w:marBottom w:val="0"/>
      <w:divBdr>
        <w:top w:val="none" w:sz="0" w:space="0" w:color="auto"/>
        <w:left w:val="none" w:sz="0" w:space="0" w:color="auto"/>
        <w:bottom w:val="none" w:sz="0" w:space="0" w:color="auto"/>
        <w:right w:val="none" w:sz="0" w:space="0" w:color="auto"/>
      </w:divBdr>
    </w:div>
    <w:div w:id="1462533302">
      <w:bodyDiv w:val="1"/>
      <w:marLeft w:val="0"/>
      <w:marRight w:val="0"/>
      <w:marTop w:val="0"/>
      <w:marBottom w:val="0"/>
      <w:divBdr>
        <w:top w:val="none" w:sz="0" w:space="0" w:color="auto"/>
        <w:left w:val="none" w:sz="0" w:space="0" w:color="auto"/>
        <w:bottom w:val="none" w:sz="0" w:space="0" w:color="auto"/>
        <w:right w:val="none" w:sz="0" w:space="0" w:color="auto"/>
      </w:divBdr>
    </w:div>
    <w:div w:id="1480534534">
      <w:bodyDiv w:val="1"/>
      <w:marLeft w:val="0"/>
      <w:marRight w:val="0"/>
      <w:marTop w:val="0"/>
      <w:marBottom w:val="0"/>
      <w:divBdr>
        <w:top w:val="none" w:sz="0" w:space="0" w:color="auto"/>
        <w:left w:val="none" w:sz="0" w:space="0" w:color="auto"/>
        <w:bottom w:val="none" w:sz="0" w:space="0" w:color="auto"/>
        <w:right w:val="none" w:sz="0" w:space="0" w:color="auto"/>
      </w:divBdr>
    </w:div>
    <w:div w:id="1526096464">
      <w:bodyDiv w:val="1"/>
      <w:marLeft w:val="0"/>
      <w:marRight w:val="0"/>
      <w:marTop w:val="0"/>
      <w:marBottom w:val="0"/>
      <w:divBdr>
        <w:top w:val="none" w:sz="0" w:space="0" w:color="auto"/>
        <w:left w:val="none" w:sz="0" w:space="0" w:color="auto"/>
        <w:bottom w:val="none" w:sz="0" w:space="0" w:color="auto"/>
        <w:right w:val="none" w:sz="0" w:space="0" w:color="auto"/>
      </w:divBdr>
    </w:div>
    <w:div w:id="1605990923">
      <w:bodyDiv w:val="1"/>
      <w:marLeft w:val="0"/>
      <w:marRight w:val="0"/>
      <w:marTop w:val="0"/>
      <w:marBottom w:val="0"/>
      <w:divBdr>
        <w:top w:val="none" w:sz="0" w:space="0" w:color="auto"/>
        <w:left w:val="none" w:sz="0" w:space="0" w:color="auto"/>
        <w:bottom w:val="none" w:sz="0" w:space="0" w:color="auto"/>
        <w:right w:val="none" w:sz="0" w:space="0" w:color="auto"/>
      </w:divBdr>
    </w:div>
    <w:div w:id="1619482449">
      <w:bodyDiv w:val="1"/>
      <w:marLeft w:val="0"/>
      <w:marRight w:val="0"/>
      <w:marTop w:val="0"/>
      <w:marBottom w:val="0"/>
      <w:divBdr>
        <w:top w:val="none" w:sz="0" w:space="0" w:color="auto"/>
        <w:left w:val="none" w:sz="0" w:space="0" w:color="auto"/>
        <w:bottom w:val="none" w:sz="0" w:space="0" w:color="auto"/>
        <w:right w:val="none" w:sz="0" w:space="0" w:color="auto"/>
      </w:divBdr>
    </w:div>
    <w:div w:id="1669602695">
      <w:bodyDiv w:val="1"/>
      <w:marLeft w:val="0"/>
      <w:marRight w:val="0"/>
      <w:marTop w:val="0"/>
      <w:marBottom w:val="0"/>
      <w:divBdr>
        <w:top w:val="none" w:sz="0" w:space="0" w:color="auto"/>
        <w:left w:val="none" w:sz="0" w:space="0" w:color="auto"/>
        <w:bottom w:val="none" w:sz="0" w:space="0" w:color="auto"/>
        <w:right w:val="none" w:sz="0" w:space="0" w:color="auto"/>
      </w:divBdr>
    </w:div>
    <w:div w:id="1696420356">
      <w:bodyDiv w:val="1"/>
      <w:marLeft w:val="0"/>
      <w:marRight w:val="0"/>
      <w:marTop w:val="0"/>
      <w:marBottom w:val="0"/>
      <w:divBdr>
        <w:top w:val="none" w:sz="0" w:space="0" w:color="auto"/>
        <w:left w:val="none" w:sz="0" w:space="0" w:color="auto"/>
        <w:bottom w:val="none" w:sz="0" w:space="0" w:color="auto"/>
        <w:right w:val="none" w:sz="0" w:space="0" w:color="auto"/>
      </w:divBdr>
    </w:div>
    <w:div w:id="1749764539">
      <w:bodyDiv w:val="1"/>
      <w:marLeft w:val="0"/>
      <w:marRight w:val="0"/>
      <w:marTop w:val="0"/>
      <w:marBottom w:val="0"/>
      <w:divBdr>
        <w:top w:val="none" w:sz="0" w:space="0" w:color="auto"/>
        <w:left w:val="none" w:sz="0" w:space="0" w:color="auto"/>
        <w:bottom w:val="none" w:sz="0" w:space="0" w:color="auto"/>
        <w:right w:val="none" w:sz="0" w:space="0" w:color="auto"/>
      </w:divBdr>
    </w:div>
    <w:div w:id="1806508756">
      <w:bodyDiv w:val="1"/>
      <w:marLeft w:val="0"/>
      <w:marRight w:val="0"/>
      <w:marTop w:val="0"/>
      <w:marBottom w:val="0"/>
      <w:divBdr>
        <w:top w:val="none" w:sz="0" w:space="0" w:color="auto"/>
        <w:left w:val="none" w:sz="0" w:space="0" w:color="auto"/>
        <w:bottom w:val="none" w:sz="0" w:space="0" w:color="auto"/>
        <w:right w:val="none" w:sz="0" w:space="0" w:color="auto"/>
      </w:divBdr>
    </w:div>
    <w:div w:id="1844851465">
      <w:bodyDiv w:val="1"/>
      <w:marLeft w:val="0"/>
      <w:marRight w:val="0"/>
      <w:marTop w:val="0"/>
      <w:marBottom w:val="0"/>
      <w:divBdr>
        <w:top w:val="none" w:sz="0" w:space="0" w:color="auto"/>
        <w:left w:val="none" w:sz="0" w:space="0" w:color="auto"/>
        <w:bottom w:val="none" w:sz="0" w:space="0" w:color="auto"/>
        <w:right w:val="none" w:sz="0" w:space="0" w:color="auto"/>
      </w:divBdr>
    </w:div>
    <w:div w:id="1894653800">
      <w:bodyDiv w:val="1"/>
      <w:marLeft w:val="0"/>
      <w:marRight w:val="0"/>
      <w:marTop w:val="0"/>
      <w:marBottom w:val="0"/>
      <w:divBdr>
        <w:top w:val="none" w:sz="0" w:space="0" w:color="auto"/>
        <w:left w:val="none" w:sz="0" w:space="0" w:color="auto"/>
        <w:bottom w:val="none" w:sz="0" w:space="0" w:color="auto"/>
        <w:right w:val="none" w:sz="0" w:space="0" w:color="auto"/>
      </w:divBdr>
    </w:div>
    <w:div w:id="1910534540">
      <w:bodyDiv w:val="1"/>
      <w:marLeft w:val="0"/>
      <w:marRight w:val="0"/>
      <w:marTop w:val="0"/>
      <w:marBottom w:val="0"/>
      <w:divBdr>
        <w:top w:val="none" w:sz="0" w:space="0" w:color="auto"/>
        <w:left w:val="none" w:sz="0" w:space="0" w:color="auto"/>
        <w:bottom w:val="none" w:sz="0" w:space="0" w:color="auto"/>
        <w:right w:val="none" w:sz="0" w:space="0" w:color="auto"/>
      </w:divBdr>
    </w:div>
    <w:div w:id="1990670696">
      <w:bodyDiv w:val="1"/>
      <w:marLeft w:val="0"/>
      <w:marRight w:val="0"/>
      <w:marTop w:val="0"/>
      <w:marBottom w:val="0"/>
      <w:divBdr>
        <w:top w:val="none" w:sz="0" w:space="0" w:color="auto"/>
        <w:left w:val="none" w:sz="0" w:space="0" w:color="auto"/>
        <w:bottom w:val="none" w:sz="0" w:space="0" w:color="auto"/>
        <w:right w:val="none" w:sz="0" w:space="0" w:color="auto"/>
      </w:divBdr>
    </w:div>
    <w:div w:id="204390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chart" Target="charts/chart10.xml"/><Relationship Id="rId39" Type="http://schemas.openxmlformats.org/officeDocument/2006/relationships/chart" Target="charts/chart23.xml"/><Relationship Id="rId21" Type="http://schemas.openxmlformats.org/officeDocument/2006/relationships/chart" Target="charts/chart5.xml"/><Relationship Id="rId34" Type="http://schemas.openxmlformats.org/officeDocument/2006/relationships/chart" Target="charts/chart18.xml"/><Relationship Id="rId42" Type="http://schemas.openxmlformats.org/officeDocument/2006/relationships/chart" Target="charts/chart26.xml"/><Relationship Id="rId47" Type="http://schemas.openxmlformats.org/officeDocument/2006/relationships/chart" Target="charts/chart31.xml"/><Relationship Id="rId50" Type="http://schemas.openxmlformats.org/officeDocument/2006/relationships/chart" Target="charts/chart34.xml"/><Relationship Id="rId55" Type="http://schemas.openxmlformats.org/officeDocument/2006/relationships/chart" Target="charts/chart39.xml"/><Relationship Id="rId63" Type="http://schemas.openxmlformats.org/officeDocument/2006/relationships/chart" Target="charts/chart47.xml"/><Relationship Id="rId68" Type="http://schemas.openxmlformats.org/officeDocument/2006/relationships/image" Target="media/image7.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chart" Target="charts/chart13.xml"/><Relationship Id="rId11" Type="http://schemas.openxmlformats.org/officeDocument/2006/relationships/chart" Target="charts/chart1.xml"/><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9.xml"/><Relationship Id="rId53" Type="http://schemas.openxmlformats.org/officeDocument/2006/relationships/chart" Target="charts/chart37.xml"/><Relationship Id="rId58" Type="http://schemas.openxmlformats.org/officeDocument/2006/relationships/chart" Target="charts/chart42.xml"/><Relationship Id="rId66" Type="http://schemas.openxmlformats.org/officeDocument/2006/relationships/chart" Target="charts/chart50.xml"/><Relationship Id="rId7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chart" Target="charts/chart33.xml"/><Relationship Id="rId57" Type="http://schemas.openxmlformats.org/officeDocument/2006/relationships/chart" Target="charts/chart41.xml"/><Relationship Id="rId61" Type="http://schemas.openxmlformats.org/officeDocument/2006/relationships/chart" Target="charts/chart45.xml"/><Relationship Id="rId10" Type="http://schemas.openxmlformats.org/officeDocument/2006/relationships/endnotes" Target="endnotes.xml"/><Relationship Id="rId19" Type="http://schemas.openxmlformats.org/officeDocument/2006/relationships/chart" Target="charts/chart3.xml"/><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chart" Target="charts/chart36.xml"/><Relationship Id="rId60" Type="http://schemas.openxmlformats.org/officeDocument/2006/relationships/chart" Target="charts/chart44.xml"/><Relationship Id="rId65" Type="http://schemas.openxmlformats.org/officeDocument/2006/relationships/chart" Target="charts/chart49.xml"/><Relationship Id="rId7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32.xml"/><Relationship Id="rId56" Type="http://schemas.openxmlformats.org/officeDocument/2006/relationships/chart" Target="charts/chart40.xml"/><Relationship Id="rId64" Type="http://schemas.openxmlformats.org/officeDocument/2006/relationships/chart" Target="charts/chart48.xml"/><Relationship Id="rId69" Type="http://schemas.openxmlformats.org/officeDocument/2006/relationships/image" Target="media/image8.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chart" Target="charts/chart35.xml"/><Relationship Id="rId72" Type="http://schemas.openxmlformats.org/officeDocument/2006/relationships/image" Target="media/image11.png"/><Relationship Id="rId3" Type="http://schemas.openxmlformats.org/officeDocument/2006/relationships/customXml" Target="../customXml/item3.xml"/><Relationship Id="rId12" Type="http://schemas.openxmlformats.org/officeDocument/2006/relationships/chart" Target="charts/chart2.xml"/><Relationship Id="rId17" Type="http://schemas.openxmlformats.org/officeDocument/2006/relationships/image" Target="media/image5.png"/><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59" Type="http://schemas.openxmlformats.org/officeDocument/2006/relationships/chart" Target="charts/chart43.xml"/><Relationship Id="rId67" Type="http://schemas.openxmlformats.org/officeDocument/2006/relationships/chart" Target="charts/chart51.xml"/><Relationship Id="rId20" Type="http://schemas.openxmlformats.org/officeDocument/2006/relationships/chart" Target="charts/chart4.xml"/><Relationship Id="rId41" Type="http://schemas.openxmlformats.org/officeDocument/2006/relationships/chart" Target="charts/chart25.xml"/><Relationship Id="rId54" Type="http://schemas.openxmlformats.org/officeDocument/2006/relationships/chart" Target="charts/chart38.xml"/><Relationship Id="rId62" Type="http://schemas.openxmlformats.org/officeDocument/2006/relationships/chart" Target="charts/chart46.xml"/><Relationship Id="rId70" Type="http://schemas.openxmlformats.org/officeDocument/2006/relationships/image" Target="media/image9.png"/><Relationship Id="rId75"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Emillar\AppData\Local\Temp\notesB2AC6F\ImpactCOVID19NZCR_TablesFigures_20200519_diagdat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NPAC_20200522-%20AD%20-%20non%20surgical%20treatment.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MDS_Tumours_Weekly_20200521%20+%20AD%20Surgerie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MDS_Tumours_Weekly_20200521%20+%20AD%20Surgerie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MDS_Tumours_Weekly_20200521%20+%20AD%20Surgerie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MDS_Tumours_Weekly_20200521%20+%20AD%20Surgerie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MDS_Tumours_Weekly_20200521%20+%20AD%20Surgerie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MDS_Tumours_Weekly_20200521%20+%20AD%20Surgerie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MDS_Tumours_Weekly_20200521%20+%20AD%20Surgerie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MDS_Tumours_Weekly_20200521%20+%20AD%20Surgerie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NPAC_20200522-%20AD%20-%20non%20surgical%20treatment%20+%20Peer%20reviewed%20by%20John.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millar\AppData\Local\Temp\notesB2AC6F\ImpactCOVID19NZCR_TablesFigures_20200519_diagdate.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MDS_Tumours_Weekly_20200521%20+%20AD%20Surgerie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MDS_Tumours_Weekly_20200521%20+%20AD%20Surgerie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MDS_Tumours_Weekly_20200521%20+%20AD%20Surgerie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MDS_Tumours_Weekly_20200521%20+%20AD%20Surgerie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MDS_Tumours_Weekly_20200521%20+%20AD%20Surgeries.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MDS_Tumours_Weekly_20200521%20+%20AD%20Surgeries.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MDS_Tumours_Weekly_20200521%20+%20AD%20Surgeries.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MDS_Tumours_Weekly_20200521%20+%20AD%20Surgeries.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NPAC_20200522-%20AD%20-%20non%20surgical%20treatment%20+%20Peer%20reviewed%20by%20John.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NPAC_20200522-%20AD%20-%20non%20surgical%20treatment%20+%20Peer%20reviewed%20by%20John.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NPAC_20200522-%20AD%20-%20non%20surgical%20treatment.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NPAC_20200522-%20AD%20-%20non%20surgical%20treatment%20+%20Peer%20reviewed%20by%20John.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NPAC_20200522-%20AD%20-%20non%20surgical%20treatment%20+%20Peer%20reviewed%20by%20John.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NPAC_20200522-%20AD%20-%20non%20surgical%20treatment.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NPAC_20200522-%20AD%20-%20non%20surgical%20treatment.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NPAC_20200522-%20AD%20-%20non%20surgical%20treatment.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NPAC_20200522-%20AD%20-%20non%20surgical%20treatment.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NPAC_20200522-%20AD%20-%20non%20surgical%20treatment%20+%20Peer%20reviewed%20by%20John.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NPAC_20200522-%20AD%20-%20non%20surgical%20treatment%20+%20Peer%20reviewed%20by%20John.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NPAC_20200522-%20AD%20-%20non%20surgical%20treatment%20+%20Peer%20reviewed%20by%20John.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NPAC_20200522-%20AD%20-%20non%20surgical%20treatment%20+%20Peer%20reviewed%20by%20John.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NPAC_20200522-%20AD%20-%20non%20surgical%20treatment.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NPAC_20200522-%20AD%20-%20non%20surgical%20treatment.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NPAC_20200522-%20AD%20-%20non%20surgical%20treatment.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NPAC_20200522-%20AD%20-%20non%20surgical%20treatment.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NPAC_20200522-%20AD%20-%20non%20surgical%20treatment.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NPAC_20200522-%20AD%20-%20non%20surgical%20treatment%20+%20Peer%20reviewed%20by%20John.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NPAC_20200522-%20AD%20-%20non%20surgical%20treatment%20+%20Peer%20reviewed%20by%20John.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NPAC_20200522-%20AD%20-%20non%20surgical%20treatment%20+%20Peer%20reviewed%20by%20John.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NPAC_20200522-%20AD%20-%20non%20surgical%20treatment%20+%20Peer%20reviewed%20by%20John.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NPAC_20200522-%20AD%20-%20non%20surgical%20treatment.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NPAC_20200522-%20AD%20-%20non%20surgical%20treatment.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NPAC_20200522-%20AD%20-%20non%20surgical%20treatment.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NPAC_20200522-%20AD%20-%20non%20surgical%20treatment.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NPAC_20200522-%20AD%20-%20non%20surgical%20treatment.xlsx" TargetMode="External"/><Relationship Id="rId2" Type="http://schemas.microsoft.com/office/2011/relationships/chartColorStyle" Target="colors51.xml"/><Relationship Id="rId1" Type="http://schemas.microsoft.com/office/2011/relationships/chartStyle" Target="style51.xml"/></Relationships>
</file>

<file path=word/charts/_rels/chart6.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NPAC_20200522-%20AD%20-%20non%20surgical%20treatmen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NPAC_20200522-%20AD%20-%20non%20surgical%20treatment%20+%20Peer%20reviewed%20by%20Joh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NPAC_20200522-%20AD%20-%20non%20surgical%20treatment%20+%20Peer%20reviewed%20by%20Joh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WMNTFP\Group\Cancer\COVID-19%20monitoring%20response\Reporting\Minister%20Updates\May%20report%20(April%20Data)\NNPAC_20200522-%20AD%20-%20non%20surgical%20treatmen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j-lt"/>
                <a:ea typeface="+mn-ea"/>
                <a:cs typeface="+mn-cs"/>
              </a:defRPr>
            </a:pPr>
            <a:r>
              <a:rPr lang="en-NZ" sz="1000"/>
              <a:t>Total Cancer Registrations, By Month</a:t>
            </a:r>
          </a:p>
        </c:rich>
      </c:tx>
      <c:layout>
        <c:manualLayout>
          <c:xMode val="edge"/>
          <c:yMode val="edge"/>
          <c:x val="0.2382753679087605"/>
          <c:y val="1.2711365247000234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j-lt"/>
              <a:ea typeface="+mn-ea"/>
              <a:cs typeface="+mn-cs"/>
            </a:defRPr>
          </a:pPr>
          <a:endParaRPr lang="en-US"/>
        </a:p>
      </c:txPr>
    </c:title>
    <c:autoTitleDeleted val="0"/>
    <c:plotArea>
      <c:layout>
        <c:manualLayout>
          <c:layoutTarget val="inner"/>
          <c:xMode val="edge"/>
          <c:yMode val="edge"/>
          <c:x val="0.15637270341207349"/>
          <c:y val="0.15746460806623824"/>
          <c:w val="0.7735456903012573"/>
          <c:h val="0.73513613576740322"/>
        </c:manualLayout>
      </c:layout>
      <c:barChart>
        <c:barDir val="col"/>
        <c:grouping val="clustered"/>
        <c:varyColors val="0"/>
        <c:ser>
          <c:idx val="0"/>
          <c:order val="0"/>
          <c:tx>
            <c:strRef>
              <c:f>[ImpactCOVID19NZCR_TablesFigures_20200519_diagdate.xlsx]Total!$M$3</c:f>
              <c:strCache>
                <c:ptCount val="1"/>
                <c:pt idx="0">
                  <c:v>2018</c:v>
                </c:pt>
              </c:strCache>
            </c:strRef>
          </c:tx>
          <c:spPr>
            <a:solidFill>
              <a:schemeClr val="accent1"/>
            </a:solidFill>
            <a:ln>
              <a:noFill/>
            </a:ln>
            <a:effectLst/>
          </c:spPr>
          <c:invertIfNegative val="0"/>
          <c:cat>
            <c:strRef>
              <c:f>[ImpactCOVID19NZCR_TablesFigures_20200519_diagdate.xlsx]Total!$L$3:$L$14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[ImpactCOVID19NZCR_TablesFigures_20200519_diagdate.xlsx]Total!$D$3:$D$14</c:f>
              <c:numCache>
                <c:formatCode>General</c:formatCode>
                <c:ptCount val="12"/>
                <c:pt idx="0">
                  <c:v>2015</c:v>
                </c:pt>
                <c:pt idx="1">
                  <c:v>2130</c:v>
                </c:pt>
                <c:pt idx="2">
                  <c:v>2337</c:v>
                </c:pt>
                <c:pt idx="3">
                  <c:v>2135</c:v>
                </c:pt>
                <c:pt idx="4">
                  <c:v>2473</c:v>
                </c:pt>
                <c:pt idx="5">
                  <c:v>2209</c:v>
                </c:pt>
                <c:pt idx="6">
                  <c:v>2125</c:v>
                </c:pt>
                <c:pt idx="7">
                  <c:v>2408</c:v>
                </c:pt>
                <c:pt idx="8">
                  <c:v>2162</c:v>
                </c:pt>
                <c:pt idx="9">
                  <c:v>2221</c:v>
                </c:pt>
                <c:pt idx="10">
                  <c:v>2534</c:v>
                </c:pt>
                <c:pt idx="11">
                  <c:v>2036</c:v>
                </c:pt>
              </c:numCache>
            </c:numRef>
          </c:val>
          <c:extLst>
            <c:ext xmlns:c16="http://schemas.microsoft.com/office/drawing/2014/chart" uri="{C3380CC4-5D6E-409C-BE32-E72D297353CC}">
              <c16:uniqueId val="{00000000-7F70-4CAF-9D70-4587FEA8BE38}"/>
            </c:ext>
          </c:extLst>
        </c:ser>
        <c:ser>
          <c:idx val="1"/>
          <c:order val="1"/>
          <c:tx>
            <c:strRef>
              <c:f>[ImpactCOVID19NZCR_TablesFigures_20200519_diagdate.xlsx]Total!$M$4</c:f>
              <c:strCache>
                <c:ptCount val="1"/>
                <c:pt idx="0">
                  <c:v>2019</c:v>
                </c:pt>
              </c:strCache>
            </c:strRef>
          </c:tx>
          <c:spPr>
            <a:solidFill>
              <a:schemeClr val="accent2"/>
            </a:solidFill>
            <a:ln>
              <a:noFill/>
            </a:ln>
            <a:effectLst/>
          </c:spPr>
          <c:invertIfNegative val="0"/>
          <c:val>
            <c:numRef>
              <c:f>[ImpactCOVID19NZCR_TablesFigures_20200519_diagdate.xlsx]Total!$D$15:$D$26</c:f>
              <c:numCache>
                <c:formatCode>General</c:formatCode>
                <c:ptCount val="12"/>
                <c:pt idx="0">
                  <c:v>1984</c:v>
                </c:pt>
                <c:pt idx="1">
                  <c:v>2133</c:v>
                </c:pt>
                <c:pt idx="2">
                  <c:v>2392</c:v>
                </c:pt>
                <c:pt idx="3">
                  <c:v>2198</c:v>
                </c:pt>
                <c:pt idx="4">
                  <c:v>2503</c:v>
                </c:pt>
                <c:pt idx="5">
                  <c:v>2143</c:v>
                </c:pt>
                <c:pt idx="6">
                  <c:v>2385</c:v>
                </c:pt>
                <c:pt idx="7">
                  <c:v>2342</c:v>
                </c:pt>
                <c:pt idx="8">
                  <c:v>2243</c:v>
                </c:pt>
                <c:pt idx="9">
                  <c:v>2331</c:v>
                </c:pt>
                <c:pt idx="10">
                  <c:v>2500</c:v>
                </c:pt>
                <c:pt idx="11">
                  <c:v>2250</c:v>
                </c:pt>
              </c:numCache>
            </c:numRef>
          </c:val>
          <c:extLst>
            <c:ext xmlns:c16="http://schemas.microsoft.com/office/drawing/2014/chart" uri="{C3380CC4-5D6E-409C-BE32-E72D297353CC}">
              <c16:uniqueId val="{00000001-7F70-4CAF-9D70-4587FEA8BE38}"/>
            </c:ext>
          </c:extLst>
        </c:ser>
        <c:ser>
          <c:idx val="2"/>
          <c:order val="2"/>
          <c:tx>
            <c:strRef>
              <c:f>[ImpactCOVID19NZCR_TablesFigures_20200519_diagdate.xlsx]Total!$M$5</c:f>
              <c:strCache>
                <c:ptCount val="1"/>
                <c:pt idx="0">
                  <c:v>2020</c:v>
                </c:pt>
              </c:strCache>
            </c:strRef>
          </c:tx>
          <c:spPr>
            <a:solidFill>
              <a:schemeClr val="accent3"/>
            </a:solidFill>
            <a:ln>
              <a:noFill/>
            </a:ln>
            <a:effectLst/>
          </c:spPr>
          <c:invertIfNegative val="0"/>
          <c:val>
            <c:numRef>
              <c:f>[ImpactCOVID19NZCR_TablesFigures_20200519_diagdate.xlsx]Total!$D$27:$D$30</c:f>
              <c:numCache>
                <c:formatCode>General</c:formatCode>
                <c:ptCount val="4"/>
                <c:pt idx="0">
                  <c:v>2271</c:v>
                </c:pt>
                <c:pt idx="1">
                  <c:v>2386</c:v>
                </c:pt>
                <c:pt idx="2">
                  <c:v>2383</c:v>
                </c:pt>
                <c:pt idx="3">
                  <c:v>1167</c:v>
                </c:pt>
              </c:numCache>
            </c:numRef>
          </c:val>
          <c:extLst>
            <c:ext xmlns:c16="http://schemas.microsoft.com/office/drawing/2014/chart" uri="{C3380CC4-5D6E-409C-BE32-E72D297353CC}">
              <c16:uniqueId val="{00000002-7F70-4CAF-9D70-4587FEA8BE38}"/>
            </c:ext>
          </c:extLst>
        </c:ser>
        <c:dLbls>
          <c:showLegendKey val="0"/>
          <c:showVal val="0"/>
          <c:showCatName val="0"/>
          <c:showSerName val="0"/>
          <c:showPercent val="0"/>
          <c:showBubbleSize val="0"/>
        </c:dLbls>
        <c:gapWidth val="150"/>
        <c:axId val="2092016272"/>
        <c:axId val="2092030416"/>
      </c:barChart>
      <c:catAx>
        <c:axId val="209201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j-lt"/>
                <a:ea typeface="+mn-ea"/>
                <a:cs typeface="+mn-cs"/>
              </a:defRPr>
            </a:pPr>
            <a:endParaRPr lang="en-US"/>
          </a:p>
        </c:txPr>
        <c:crossAx val="2092030416"/>
        <c:crosses val="autoZero"/>
        <c:auto val="1"/>
        <c:lblAlgn val="ctr"/>
        <c:lblOffset val="100"/>
        <c:noMultiLvlLbl val="0"/>
      </c:catAx>
      <c:valAx>
        <c:axId val="2092030416"/>
        <c:scaling>
          <c:orientation val="minMax"/>
          <c:max val="3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j-lt"/>
                    <a:ea typeface="+mn-ea"/>
                    <a:cs typeface="+mn-cs"/>
                  </a:defRPr>
                </a:pPr>
                <a:r>
                  <a:rPr lang="en-NZ"/>
                  <a:t>Number of</a:t>
                </a:r>
                <a:r>
                  <a:rPr lang="en-NZ" baseline="0"/>
                  <a:t> c</a:t>
                </a:r>
                <a:r>
                  <a:rPr lang="en-NZ"/>
                  <a:t>ancer registrations</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j-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j-lt"/>
                <a:ea typeface="+mn-ea"/>
                <a:cs typeface="+mn-cs"/>
              </a:defRPr>
            </a:pPr>
            <a:endParaRPr lang="en-US"/>
          </a:p>
        </c:txPr>
        <c:crossAx val="2092016272"/>
        <c:crosses val="autoZero"/>
        <c:crossBetween val="between"/>
        <c:majorUnit val="500"/>
      </c:valAx>
      <c:spPr>
        <a:noFill/>
        <a:ln>
          <a:noFill/>
        </a:ln>
        <a:effectLst/>
      </c:spPr>
    </c:plotArea>
    <c:legend>
      <c:legendPos val="t"/>
      <c:layout>
        <c:manualLayout>
          <c:xMode val="edge"/>
          <c:yMode val="edge"/>
          <c:x val="0.34462130405742292"/>
          <c:y val="6.2433035338642515E-2"/>
          <c:w val="0.3585471170942342"/>
          <c:h val="8.1219921382299998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j-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mj-lt"/>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Cumulative bronchoscopies - Māori</a:t>
            </a:r>
          </a:p>
        </c:rich>
      </c:tx>
      <c:layout>
        <c:manualLayout>
          <c:xMode val="edge"/>
          <c:yMode val="edge"/>
          <c:x val="0.12577559880486638"/>
          <c:y val="5.2631578947368418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346348829683962"/>
          <c:y val="0.25161175576737116"/>
          <c:w val="0.78520879832065238"/>
          <c:h val="0.58588444536538198"/>
        </c:manualLayout>
      </c:layout>
      <c:scatterChart>
        <c:scatterStyle val="smoothMarker"/>
        <c:varyColors val="0"/>
        <c:ser>
          <c:idx val="2"/>
          <c:order val="0"/>
          <c:tx>
            <c:v>2018</c:v>
          </c:tx>
          <c:spPr>
            <a:ln w="19050" cap="rnd">
              <a:solidFill>
                <a:schemeClr val="accent3"/>
              </a:solidFill>
              <a:round/>
            </a:ln>
            <a:effectLst/>
          </c:spPr>
          <c:marker>
            <c:symbol val="none"/>
          </c:marker>
          <c:yVal>
            <c:numRef>
              <c:f>'W Bronscopes'!$P$3:$P$28</c:f>
              <c:numCache>
                <c:formatCode>General</c:formatCode>
                <c:ptCount val="26"/>
                <c:pt idx="0">
                  <c:v>2</c:v>
                </c:pt>
                <c:pt idx="1">
                  <c:v>7</c:v>
                </c:pt>
                <c:pt idx="2">
                  <c:v>13</c:v>
                </c:pt>
                <c:pt idx="3">
                  <c:v>24</c:v>
                </c:pt>
                <c:pt idx="4">
                  <c:v>26</c:v>
                </c:pt>
                <c:pt idx="5">
                  <c:v>28</c:v>
                </c:pt>
                <c:pt idx="6">
                  <c:v>41</c:v>
                </c:pt>
                <c:pt idx="7">
                  <c:v>47</c:v>
                </c:pt>
                <c:pt idx="8">
                  <c:v>50</c:v>
                </c:pt>
                <c:pt idx="9">
                  <c:v>54</c:v>
                </c:pt>
                <c:pt idx="10">
                  <c:v>62</c:v>
                </c:pt>
                <c:pt idx="11">
                  <c:v>71</c:v>
                </c:pt>
                <c:pt idx="12">
                  <c:v>79</c:v>
                </c:pt>
                <c:pt idx="13">
                  <c:v>85</c:v>
                </c:pt>
                <c:pt idx="14">
                  <c:v>90</c:v>
                </c:pt>
                <c:pt idx="15">
                  <c:v>95</c:v>
                </c:pt>
                <c:pt idx="16">
                  <c:v>99</c:v>
                </c:pt>
                <c:pt idx="17">
                  <c:v>106</c:v>
                </c:pt>
                <c:pt idx="18">
                  <c:v>117</c:v>
                </c:pt>
                <c:pt idx="19">
                  <c:v>126</c:v>
                </c:pt>
                <c:pt idx="20">
                  <c:v>134</c:v>
                </c:pt>
                <c:pt idx="21">
                  <c:v>143</c:v>
                </c:pt>
                <c:pt idx="22">
                  <c:v>150</c:v>
                </c:pt>
                <c:pt idx="23">
                  <c:v>156</c:v>
                </c:pt>
                <c:pt idx="24">
                  <c:v>161</c:v>
                </c:pt>
                <c:pt idx="25">
                  <c:v>175</c:v>
                </c:pt>
              </c:numCache>
            </c:numRef>
          </c:yVal>
          <c:smooth val="1"/>
          <c:extLst>
            <c:ext xmlns:c16="http://schemas.microsoft.com/office/drawing/2014/chart" uri="{C3380CC4-5D6E-409C-BE32-E72D297353CC}">
              <c16:uniqueId val="{00000000-A2EB-4E25-96ED-4F96E9860101}"/>
            </c:ext>
          </c:extLst>
        </c:ser>
        <c:ser>
          <c:idx val="0"/>
          <c:order val="1"/>
          <c:tx>
            <c:v>2019</c:v>
          </c:tx>
          <c:spPr>
            <a:ln w="19050" cap="rnd">
              <a:solidFill>
                <a:schemeClr val="accent1"/>
              </a:solidFill>
              <a:round/>
            </a:ln>
            <a:effectLst/>
          </c:spPr>
          <c:marker>
            <c:symbol val="none"/>
          </c:marker>
          <c:yVal>
            <c:numRef>
              <c:f>'W Bronscopes'!$Q$3:$Q$28</c:f>
              <c:numCache>
                <c:formatCode>General</c:formatCode>
                <c:ptCount val="26"/>
                <c:pt idx="0">
                  <c:v>9</c:v>
                </c:pt>
                <c:pt idx="1">
                  <c:v>18</c:v>
                </c:pt>
                <c:pt idx="2">
                  <c:v>24</c:v>
                </c:pt>
                <c:pt idx="3">
                  <c:v>33</c:v>
                </c:pt>
                <c:pt idx="4">
                  <c:v>45</c:v>
                </c:pt>
                <c:pt idx="5">
                  <c:v>56</c:v>
                </c:pt>
                <c:pt idx="6">
                  <c:v>63</c:v>
                </c:pt>
                <c:pt idx="7">
                  <c:v>76</c:v>
                </c:pt>
                <c:pt idx="8">
                  <c:v>82</c:v>
                </c:pt>
                <c:pt idx="9">
                  <c:v>88</c:v>
                </c:pt>
                <c:pt idx="10">
                  <c:v>96</c:v>
                </c:pt>
                <c:pt idx="11">
                  <c:v>106</c:v>
                </c:pt>
                <c:pt idx="12">
                  <c:v>118</c:v>
                </c:pt>
                <c:pt idx="13">
                  <c:v>124</c:v>
                </c:pt>
                <c:pt idx="14">
                  <c:v>130</c:v>
                </c:pt>
                <c:pt idx="15">
                  <c:v>139</c:v>
                </c:pt>
                <c:pt idx="16">
                  <c:v>144</c:v>
                </c:pt>
                <c:pt idx="17">
                  <c:v>150</c:v>
                </c:pt>
                <c:pt idx="18">
                  <c:v>160</c:v>
                </c:pt>
                <c:pt idx="19">
                  <c:v>169</c:v>
                </c:pt>
                <c:pt idx="20">
                  <c:v>182</c:v>
                </c:pt>
                <c:pt idx="21">
                  <c:v>191</c:v>
                </c:pt>
                <c:pt idx="22">
                  <c:v>202</c:v>
                </c:pt>
                <c:pt idx="23">
                  <c:v>209</c:v>
                </c:pt>
                <c:pt idx="24">
                  <c:v>213</c:v>
                </c:pt>
                <c:pt idx="25">
                  <c:v>217</c:v>
                </c:pt>
              </c:numCache>
            </c:numRef>
          </c:yVal>
          <c:smooth val="1"/>
          <c:extLst>
            <c:ext xmlns:c16="http://schemas.microsoft.com/office/drawing/2014/chart" uri="{C3380CC4-5D6E-409C-BE32-E72D297353CC}">
              <c16:uniqueId val="{00000001-A2EB-4E25-96ED-4F96E9860101}"/>
            </c:ext>
          </c:extLst>
        </c:ser>
        <c:ser>
          <c:idx val="1"/>
          <c:order val="2"/>
          <c:tx>
            <c:v>2020</c:v>
          </c:tx>
          <c:spPr>
            <a:ln w="19050" cap="rnd">
              <a:solidFill>
                <a:schemeClr val="accent2"/>
              </a:solidFill>
              <a:round/>
            </a:ln>
            <a:effectLst/>
          </c:spPr>
          <c:marker>
            <c:symbol val="none"/>
          </c:marker>
          <c:yVal>
            <c:numRef>
              <c:f>'W Bronscopes'!$R$3:$R$19</c:f>
              <c:numCache>
                <c:formatCode>General</c:formatCode>
                <c:ptCount val="17"/>
                <c:pt idx="0">
                  <c:v>9</c:v>
                </c:pt>
                <c:pt idx="1">
                  <c:v>18</c:v>
                </c:pt>
                <c:pt idx="2">
                  <c:v>24</c:v>
                </c:pt>
                <c:pt idx="3">
                  <c:v>30</c:v>
                </c:pt>
                <c:pt idx="4">
                  <c:v>38</c:v>
                </c:pt>
                <c:pt idx="5">
                  <c:v>42</c:v>
                </c:pt>
                <c:pt idx="6">
                  <c:v>54</c:v>
                </c:pt>
                <c:pt idx="7">
                  <c:v>65</c:v>
                </c:pt>
                <c:pt idx="8">
                  <c:v>71</c:v>
                </c:pt>
                <c:pt idx="9">
                  <c:v>76</c:v>
                </c:pt>
                <c:pt idx="10">
                  <c:v>79</c:v>
                </c:pt>
                <c:pt idx="11">
                  <c:v>87</c:v>
                </c:pt>
                <c:pt idx="12">
                  <c:v>90</c:v>
                </c:pt>
                <c:pt idx="13">
                  <c:v>91</c:v>
                </c:pt>
                <c:pt idx="14">
                  <c:v>92</c:v>
                </c:pt>
                <c:pt idx="15">
                  <c:v>92</c:v>
                </c:pt>
                <c:pt idx="16">
                  <c:v>94</c:v>
                </c:pt>
              </c:numCache>
            </c:numRef>
          </c:yVal>
          <c:smooth val="1"/>
          <c:extLst>
            <c:ext xmlns:c16="http://schemas.microsoft.com/office/drawing/2014/chart" uri="{C3380CC4-5D6E-409C-BE32-E72D297353CC}">
              <c16:uniqueId val="{00000002-A2EB-4E25-96ED-4F96E9860101}"/>
            </c:ext>
          </c:extLst>
        </c:ser>
        <c:ser>
          <c:idx val="3"/>
          <c:order val="3"/>
          <c:tx>
            <c:v>Level 4</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A2EB-4E25-96ED-4F96E9860101}"/>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'W Bronscopes'!$V$3:$V$4</c:f>
              <c:numCache>
                <c:formatCode>General</c:formatCode>
                <c:ptCount val="2"/>
                <c:pt idx="0">
                  <c:v>13</c:v>
                </c:pt>
                <c:pt idx="1">
                  <c:v>13</c:v>
                </c:pt>
              </c:numCache>
            </c:numRef>
          </c:xVal>
          <c:yVal>
            <c:numRef>
              <c:f>'W Bronscopes'!$W$3:$W$4</c:f>
              <c:numCache>
                <c:formatCode>General</c:formatCode>
                <c:ptCount val="2"/>
                <c:pt idx="0">
                  <c:v>0</c:v>
                </c:pt>
                <c:pt idx="1">
                  <c:v>175</c:v>
                </c:pt>
              </c:numCache>
            </c:numRef>
          </c:yVal>
          <c:smooth val="1"/>
          <c:extLst>
            <c:ext xmlns:c16="http://schemas.microsoft.com/office/drawing/2014/chart" uri="{C3380CC4-5D6E-409C-BE32-E72D297353CC}">
              <c16:uniqueId val="{00000004-A2EB-4E25-96ED-4F96E9860101}"/>
            </c:ext>
          </c:extLst>
        </c:ser>
        <c:ser>
          <c:idx val="4"/>
          <c:order val="4"/>
          <c:tx>
            <c:v>Level 3 </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5-A2EB-4E25-96ED-4F96E9860101}"/>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'W Bronscopes'!$V$6:$V$7</c:f>
              <c:numCache>
                <c:formatCode>General</c:formatCode>
                <c:ptCount val="2"/>
                <c:pt idx="0">
                  <c:v>17</c:v>
                </c:pt>
                <c:pt idx="1">
                  <c:v>17</c:v>
                </c:pt>
              </c:numCache>
            </c:numRef>
          </c:xVal>
          <c:yVal>
            <c:numRef>
              <c:f>'W Bronscopes'!$W$6:$W$7</c:f>
              <c:numCache>
                <c:formatCode>General</c:formatCode>
                <c:ptCount val="2"/>
                <c:pt idx="0">
                  <c:v>0</c:v>
                </c:pt>
                <c:pt idx="1">
                  <c:v>195.3</c:v>
                </c:pt>
              </c:numCache>
            </c:numRef>
          </c:yVal>
          <c:smooth val="1"/>
          <c:extLst>
            <c:ext xmlns:c16="http://schemas.microsoft.com/office/drawing/2014/chart" uri="{C3380CC4-5D6E-409C-BE32-E72D297353CC}">
              <c16:uniqueId val="{00000006-A2EB-4E25-96ED-4F96E9860101}"/>
            </c:ext>
          </c:extLst>
        </c:ser>
        <c:dLbls>
          <c:showLegendKey val="0"/>
          <c:showVal val="0"/>
          <c:showCatName val="0"/>
          <c:showSerName val="0"/>
          <c:showPercent val="0"/>
          <c:showBubbleSize val="0"/>
        </c:dLbls>
        <c:axId val="419949736"/>
        <c:axId val="419954000"/>
      </c:scatterChart>
      <c:valAx>
        <c:axId val="419949736"/>
        <c:scaling>
          <c:orientation val="minMax"/>
          <c:max val="27"/>
          <c:min val="1"/>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a:t>Week</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54000"/>
        <c:crosses val="autoZero"/>
        <c:crossBetween val="midCat"/>
        <c:majorUnit val="2"/>
      </c:valAx>
      <c:valAx>
        <c:axId val="419954000"/>
        <c:scaling>
          <c:orientation val="minMax"/>
          <c:max val="22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Cumulative number of procedures</a:t>
                </a:r>
              </a:p>
            </c:rich>
          </c:tx>
          <c:layout>
            <c:manualLayout>
              <c:xMode val="edge"/>
              <c:yMode val="edge"/>
              <c:x val="1.2644889357218124E-2"/>
              <c:y val="0.2706540718094180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midCat"/>
        <c:majorUnit val="20"/>
      </c:valAx>
      <c:spPr>
        <a:noFill/>
        <a:ln>
          <a:noFill/>
        </a:ln>
        <a:effectLst/>
      </c:spPr>
    </c:plotArea>
    <c:legend>
      <c:legendPos val="t"/>
      <c:legendEntry>
        <c:idx val="3"/>
        <c:delete val="1"/>
      </c:legendEntry>
      <c:legendEntry>
        <c:idx val="4"/>
        <c:delete val="1"/>
      </c:legendEntry>
      <c:layout>
        <c:manualLayout>
          <c:xMode val="edge"/>
          <c:yMode val="edge"/>
          <c:x val="0.1948081018174615"/>
          <c:y val="0.1506572040337063"/>
          <c:w val="0.61029513039005001"/>
          <c:h val="6.655617176994761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NZ" sz="1050"/>
              <a:t>Curative cancer surgeries (prostate, colorectal, lung) - total population</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0"/>
          <c:tx>
            <c:v>2018</c:v>
          </c:tx>
          <c:spPr>
            <a:solidFill>
              <a:schemeClr val="accent3"/>
            </a:solidFill>
            <a:ln>
              <a:noFill/>
            </a:ln>
            <a:effectLst/>
          </c:spPr>
          <c:invertIfNegative val="0"/>
          <c:val>
            <c:numRef>
              <c:f>MTotalU!$E$2:$E$5</c:f>
              <c:numCache>
                <c:formatCode>General</c:formatCode>
                <c:ptCount val="4"/>
                <c:pt idx="0">
                  <c:v>266</c:v>
                </c:pt>
                <c:pt idx="1">
                  <c:v>271</c:v>
                </c:pt>
                <c:pt idx="2">
                  <c:v>349</c:v>
                </c:pt>
                <c:pt idx="3">
                  <c:v>319</c:v>
                </c:pt>
              </c:numCache>
            </c:numRef>
          </c:val>
          <c:extLst>
            <c:ext xmlns:c16="http://schemas.microsoft.com/office/drawing/2014/chart" uri="{C3380CC4-5D6E-409C-BE32-E72D297353CC}">
              <c16:uniqueId val="{00000000-363D-48E5-BA76-D80FE085E24A}"/>
            </c:ext>
          </c:extLst>
        </c:ser>
        <c:ser>
          <c:idx val="0"/>
          <c:order val="1"/>
          <c:tx>
            <c:v>2019</c:v>
          </c:tx>
          <c:spPr>
            <a:solidFill>
              <a:schemeClr val="accent1"/>
            </a:solidFill>
            <a:ln>
              <a:noFill/>
            </a:ln>
            <a:effectLst/>
          </c:spPr>
          <c:invertIfNegative val="0"/>
          <c:cat>
            <c:strRef>
              <c:f>MTotalU!$A$2:$A$5</c:f>
              <c:strCache>
                <c:ptCount val="4"/>
                <c:pt idx="0">
                  <c:v>Jan</c:v>
                </c:pt>
                <c:pt idx="1">
                  <c:v>Feb</c:v>
                </c:pt>
                <c:pt idx="2">
                  <c:v>Mar</c:v>
                </c:pt>
                <c:pt idx="3">
                  <c:v>Apr</c:v>
                </c:pt>
              </c:strCache>
            </c:strRef>
          </c:cat>
          <c:val>
            <c:numRef>
              <c:f>MTotalU!$I$2:$I$5</c:f>
              <c:numCache>
                <c:formatCode>General</c:formatCode>
                <c:ptCount val="4"/>
                <c:pt idx="0">
                  <c:v>258</c:v>
                </c:pt>
                <c:pt idx="1">
                  <c:v>302</c:v>
                </c:pt>
                <c:pt idx="2">
                  <c:v>369</c:v>
                </c:pt>
                <c:pt idx="3">
                  <c:v>378</c:v>
                </c:pt>
              </c:numCache>
            </c:numRef>
          </c:val>
          <c:extLst>
            <c:ext xmlns:c16="http://schemas.microsoft.com/office/drawing/2014/chart" uri="{C3380CC4-5D6E-409C-BE32-E72D297353CC}">
              <c16:uniqueId val="{00000001-363D-48E5-BA76-D80FE085E24A}"/>
            </c:ext>
          </c:extLst>
        </c:ser>
        <c:ser>
          <c:idx val="1"/>
          <c:order val="2"/>
          <c:tx>
            <c:v>2020</c:v>
          </c:tx>
          <c:spPr>
            <a:solidFill>
              <a:schemeClr val="accent2"/>
            </a:solidFill>
            <a:ln>
              <a:noFill/>
            </a:ln>
            <a:effectLst/>
          </c:spPr>
          <c:invertIfNegative val="0"/>
          <c:val>
            <c:numRef>
              <c:f>MTotalU!$M$2:$M$5</c:f>
              <c:numCache>
                <c:formatCode>General</c:formatCode>
                <c:ptCount val="4"/>
                <c:pt idx="0">
                  <c:v>305</c:v>
                </c:pt>
                <c:pt idx="1">
                  <c:v>293</c:v>
                </c:pt>
                <c:pt idx="2">
                  <c:v>345</c:v>
                </c:pt>
                <c:pt idx="3">
                  <c:v>254</c:v>
                </c:pt>
              </c:numCache>
            </c:numRef>
          </c:val>
          <c:extLst>
            <c:ext xmlns:c16="http://schemas.microsoft.com/office/drawing/2014/chart" uri="{C3380CC4-5D6E-409C-BE32-E72D297353CC}">
              <c16:uniqueId val="{00000002-363D-48E5-BA76-D80FE085E24A}"/>
            </c:ext>
          </c:extLst>
        </c:ser>
        <c:dLbls>
          <c:showLegendKey val="0"/>
          <c:showVal val="0"/>
          <c:showCatName val="0"/>
          <c:showSerName val="0"/>
          <c:showPercent val="0"/>
          <c:showBubbleSize val="0"/>
        </c:dLbls>
        <c:gapWidth val="219"/>
        <c:overlap val="-27"/>
        <c:axId val="418308272"/>
        <c:axId val="418310240"/>
      </c:barChart>
      <c:catAx>
        <c:axId val="41830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8310240"/>
        <c:crosses val="autoZero"/>
        <c:auto val="1"/>
        <c:lblAlgn val="ctr"/>
        <c:lblOffset val="100"/>
        <c:noMultiLvlLbl val="0"/>
      </c:catAx>
      <c:valAx>
        <c:axId val="418310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a:t>Number of </a:t>
                </a:r>
                <a:r>
                  <a:rPr lang="en-NZ" sz="800" b="0" i="0" u="none" strike="noStrike" kern="1200" baseline="0">
                    <a:solidFill>
                      <a:sysClr val="windowText" lastClr="000000">
                        <a:lumMod val="65000"/>
                        <a:lumOff val="35000"/>
                      </a:sysClr>
                    </a:solidFill>
                    <a:latin typeface="+mn-lt"/>
                    <a:ea typeface="+mn-ea"/>
                    <a:cs typeface="+mn-cs"/>
                  </a:rPr>
                  <a:t>surgeries</a:t>
                </a:r>
                <a:endParaRPr lang="en-NZ"/>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8308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NZ" sz="1050"/>
              <a:t>Curative cancer surgeries (prostate,  colorectal, lung) - Māori</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0"/>
          <c:tx>
            <c:v>2018</c:v>
          </c:tx>
          <c:spPr>
            <a:solidFill>
              <a:schemeClr val="accent3"/>
            </a:solidFill>
            <a:ln>
              <a:noFill/>
            </a:ln>
            <a:effectLst/>
          </c:spPr>
          <c:invertIfNegative val="0"/>
          <c:val>
            <c:numRef>
              <c:f>MMāoriU!$E$2:$E$5</c:f>
              <c:numCache>
                <c:formatCode>General</c:formatCode>
                <c:ptCount val="4"/>
                <c:pt idx="0">
                  <c:v>28</c:v>
                </c:pt>
                <c:pt idx="1">
                  <c:v>28</c:v>
                </c:pt>
                <c:pt idx="2">
                  <c:v>30</c:v>
                </c:pt>
                <c:pt idx="3">
                  <c:v>25</c:v>
                </c:pt>
              </c:numCache>
            </c:numRef>
          </c:val>
          <c:extLst>
            <c:ext xmlns:c16="http://schemas.microsoft.com/office/drawing/2014/chart" uri="{C3380CC4-5D6E-409C-BE32-E72D297353CC}">
              <c16:uniqueId val="{00000000-2131-4EC2-A01D-62C4147C88B9}"/>
            </c:ext>
          </c:extLst>
        </c:ser>
        <c:ser>
          <c:idx val="0"/>
          <c:order val="1"/>
          <c:tx>
            <c:v>2019</c:v>
          </c:tx>
          <c:spPr>
            <a:solidFill>
              <a:schemeClr val="accent1"/>
            </a:solidFill>
            <a:ln>
              <a:noFill/>
            </a:ln>
            <a:effectLst/>
          </c:spPr>
          <c:invertIfNegative val="0"/>
          <c:cat>
            <c:strRef>
              <c:f>MMāoriU!$A$2:$A$5</c:f>
              <c:strCache>
                <c:ptCount val="4"/>
                <c:pt idx="0">
                  <c:v>Jan</c:v>
                </c:pt>
                <c:pt idx="1">
                  <c:v>Feb</c:v>
                </c:pt>
                <c:pt idx="2">
                  <c:v>Mar</c:v>
                </c:pt>
                <c:pt idx="3">
                  <c:v>Apr</c:v>
                </c:pt>
              </c:strCache>
            </c:strRef>
          </c:cat>
          <c:val>
            <c:numRef>
              <c:f>MMāoriU!$I$2:$I$5</c:f>
              <c:numCache>
                <c:formatCode>General</c:formatCode>
                <c:ptCount val="4"/>
                <c:pt idx="0">
                  <c:v>20</c:v>
                </c:pt>
                <c:pt idx="1">
                  <c:v>27</c:v>
                </c:pt>
                <c:pt idx="2">
                  <c:v>37</c:v>
                </c:pt>
                <c:pt idx="3">
                  <c:v>40</c:v>
                </c:pt>
              </c:numCache>
            </c:numRef>
          </c:val>
          <c:extLst>
            <c:ext xmlns:c16="http://schemas.microsoft.com/office/drawing/2014/chart" uri="{C3380CC4-5D6E-409C-BE32-E72D297353CC}">
              <c16:uniqueId val="{00000001-2131-4EC2-A01D-62C4147C88B9}"/>
            </c:ext>
          </c:extLst>
        </c:ser>
        <c:ser>
          <c:idx val="1"/>
          <c:order val="2"/>
          <c:tx>
            <c:v>2020</c:v>
          </c:tx>
          <c:spPr>
            <a:solidFill>
              <a:schemeClr val="accent2"/>
            </a:solidFill>
            <a:ln>
              <a:noFill/>
            </a:ln>
            <a:effectLst/>
          </c:spPr>
          <c:invertIfNegative val="0"/>
          <c:val>
            <c:numRef>
              <c:f>MMāoriU!$M$2:$M$5</c:f>
              <c:numCache>
                <c:formatCode>General</c:formatCode>
                <c:ptCount val="4"/>
                <c:pt idx="0">
                  <c:v>23</c:v>
                </c:pt>
                <c:pt idx="1">
                  <c:v>33</c:v>
                </c:pt>
                <c:pt idx="2">
                  <c:v>43</c:v>
                </c:pt>
                <c:pt idx="3">
                  <c:v>30</c:v>
                </c:pt>
              </c:numCache>
            </c:numRef>
          </c:val>
          <c:extLst>
            <c:ext xmlns:c16="http://schemas.microsoft.com/office/drawing/2014/chart" uri="{C3380CC4-5D6E-409C-BE32-E72D297353CC}">
              <c16:uniqueId val="{00000002-2131-4EC2-A01D-62C4147C88B9}"/>
            </c:ext>
          </c:extLst>
        </c:ser>
        <c:dLbls>
          <c:showLegendKey val="0"/>
          <c:showVal val="0"/>
          <c:showCatName val="0"/>
          <c:showSerName val="0"/>
          <c:showPercent val="0"/>
          <c:showBubbleSize val="0"/>
        </c:dLbls>
        <c:gapWidth val="219"/>
        <c:overlap val="-27"/>
        <c:axId val="418308272"/>
        <c:axId val="418310240"/>
      </c:barChart>
      <c:catAx>
        <c:axId val="41830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8310240"/>
        <c:crosses val="autoZero"/>
        <c:auto val="1"/>
        <c:lblAlgn val="ctr"/>
        <c:lblOffset val="100"/>
        <c:noMultiLvlLbl val="0"/>
      </c:catAx>
      <c:valAx>
        <c:axId val="418310240"/>
        <c:scaling>
          <c:orientation val="minMax"/>
          <c:max val="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ysClr val="windowText" lastClr="000000">
                        <a:lumMod val="65000"/>
                        <a:lumOff val="35000"/>
                      </a:sysClr>
                    </a:solidFill>
                    <a:latin typeface="+mn-lt"/>
                    <a:ea typeface="+mn-ea"/>
                    <a:cs typeface="+mn-cs"/>
                  </a:rPr>
                  <a:t>Number of surgeries</a:t>
                </a:r>
                <a:endParaRPr lang="en-US"/>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8308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NZ" sz="1100"/>
              <a:t>Cumulative curative cancer surgeries - total population</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v>2018</c:v>
          </c:tx>
          <c:spPr>
            <a:ln w="19050" cap="rnd">
              <a:solidFill>
                <a:schemeClr val="accent3"/>
              </a:solidFill>
              <a:round/>
            </a:ln>
            <a:effectLst/>
          </c:spPr>
          <c:marker>
            <c:symbol val="none"/>
          </c:marker>
          <c:yVal>
            <c:numRef>
              <c:f>'WTotal 21 May'!$S$3:$S$28</c:f>
              <c:numCache>
                <c:formatCode>General</c:formatCode>
                <c:ptCount val="26"/>
                <c:pt idx="0">
                  <c:v>30</c:v>
                </c:pt>
                <c:pt idx="1">
                  <c:v>86</c:v>
                </c:pt>
                <c:pt idx="2">
                  <c:v>158</c:v>
                </c:pt>
                <c:pt idx="3">
                  <c:v>230</c:v>
                </c:pt>
                <c:pt idx="4">
                  <c:v>303</c:v>
                </c:pt>
                <c:pt idx="5">
                  <c:v>355</c:v>
                </c:pt>
                <c:pt idx="6">
                  <c:v>424</c:v>
                </c:pt>
                <c:pt idx="7">
                  <c:v>496</c:v>
                </c:pt>
                <c:pt idx="8">
                  <c:v>577</c:v>
                </c:pt>
                <c:pt idx="9">
                  <c:v>657</c:v>
                </c:pt>
                <c:pt idx="10">
                  <c:v>736</c:v>
                </c:pt>
                <c:pt idx="11">
                  <c:v>818</c:v>
                </c:pt>
                <c:pt idx="12">
                  <c:v>894</c:v>
                </c:pt>
                <c:pt idx="13">
                  <c:v>967</c:v>
                </c:pt>
                <c:pt idx="14">
                  <c:v>1041</c:v>
                </c:pt>
                <c:pt idx="15">
                  <c:v>1129</c:v>
                </c:pt>
                <c:pt idx="16">
                  <c:v>1193</c:v>
                </c:pt>
                <c:pt idx="17">
                  <c:v>1265</c:v>
                </c:pt>
                <c:pt idx="18">
                  <c:v>1353</c:v>
                </c:pt>
                <c:pt idx="19">
                  <c:v>1429</c:v>
                </c:pt>
                <c:pt idx="20">
                  <c:v>1518</c:v>
                </c:pt>
                <c:pt idx="21">
                  <c:v>1604</c:v>
                </c:pt>
                <c:pt idx="22">
                  <c:v>1669</c:v>
                </c:pt>
                <c:pt idx="23">
                  <c:v>1738</c:v>
                </c:pt>
                <c:pt idx="24">
                  <c:v>1814</c:v>
                </c:pt>
                <c:pt idx="25">
                  <c:v>1893</c:v>
                </c:pt>
              </c:numCache>
            </c:numRef>
          </c:yVal>
          <c:smooth val="0"/>
          <c:extLst>
            <c:ext xmlns:c16="http://schemas.microsoft.com/office/drawing/2014/chart" uri="{C3380CC4-5D6E-409C-BE32-E72D297353CC}">
              <c16:uniqueId val="{00000000-47EC-45C0-A4C2-32C007B0AE5C}"/>
            </c:ext>
          </c:extLst>
        </c:ser>
        <c:ser>
          <c:idx val="1"/>
          <c:order val="1"/>
          <c:tx>
            <c:v>2019</c:v>
          </c:tx>
          <c:spPr>
            <a:ln w="19050" cap="rnd">
              <a:solidFill>
                <a:schemeClr val="accent1"/>
              </a:solidFill>
              <a:round/>
            </a:ln>
            <a:effectLst/>
          </c:spPr>
          <c:marker>
            <c:symbol val="none"/>
          </c:marker>
          <c:yVal>
            <c:numRef>
              <c:f>'WTotal 21 May'!$W$3:$W$28</c:f>
              <c:numCache>
                <c:formatCode>General</c:formatCode>
                <c:ptCount val="26"/>
                <c:pt idx="0">
                  <c:v>31</c:v>
                </c:pt>
                <c:pt idx="1">
                  <c:v>99</c:v>
                </c:pt>
                <c:pt idx="2">
                  <c:v>150</c:v>
                </c:pt>
                <c:pt idx="3">
                  <c:v>225</c:v>
                </c:pt>
                <c:pt idx="4">
                  <c:v>299</c:v>
                </c:pt>
                <c:pt idx="5">
                  <c:v>362</c:v>
                </c:pt>
                <c:pt idx="6">
                  <c:v>429</c:v>
                </c:pt>
                <c:pt idx="7">
                  <c:v>510</c:v>
                </c:pt>
                <c:pt idx="8">
                  <c:v>606</c:v>
                </c:pt>
                <c:pt idx="9">
                  <c:v>695</c:v>
                </c:pt>
                <c:pt idx="10">
                  <c:v>778</c:v>
                </c:pt>
                <c:pt idx="11">
                  <c:v>853</c:v>
                </c:pt>
                <c:pt idx="12">
                  <c:v>943</c:v>
                </c:pt>
                <c:pt idx="13">
                  <c:v>1056</c:v>
                </c:pt>
                <c:pt idx="14">
                  <c:v>1152</c:v>
                </c:pt>
                <c:pt idx="15">
                  <c:v>1228</c:v>
                </c:pt>
                <c:pt idx="16">
                  <c:v>1298</c:v>
                </c:pt>
                <c:pt idx="17">
                  <c:v>1363</c:v>
                </c:pt>
                <c:pt idx="18">
                  <c:v>1439</c:v>
                </c:pt>
                <c:pt idx="19">
                  <c:v>1514</c:v>
                </c:pt>
                <c:pt idx="20">
                  <c:v>1587</c:v>
                </c:pt>
                <c:pt idx="21">
                  <c:v>1648</c:v>
                </c:pt>
                <c:pt idx="22">
                  <c:v>1720</c:v>
                </c:pt>
                <c:pt idx="23">
                  <c:v>1800</c:v>
                </c:pt>
                <c:pt idx="24">
                  <c:v>1878</c:v>
                </c:pt>
                <c:pt idx="25">
                  <c:v>1952</c:v>
                </c:pt>
              </c:numCache>
            </c:numRef>
          </c:yVal>
          <c:smooth val="0"/>
          <c:extLst>
            <c:ext xmlns:c16="http://schemas.microsoft.com/office/drawing/2014/chart" uri="{C3380CC4-5D6E-409C-BE32-E72D297353CC}">
              <c16:uniqueId val="{00000001-47EC-45C0-A4C2-32C007B0AE5C}"/>
            </c:ext>
          </c:extLst>
        </c:ser>
        <c:ser>
          <c:idx val="0"/>
          <c:order val="2"/>
          <c:tx>
            <c:v>2020</c:v>
          </c:tx>
          <c:spPr>
            <a:ln w="19050" cap="rnd">
              <a:solidFill>
                <a:schemeClr val="accent2"/>
              </a:solidFill>
              <a:round/>
            </a:ln>
            <a:effectLst/>
          </c:spPr>
          <c:marker>
            <c:symbol val="none"/>
          </c:marker>
          <c:yVal>
            <c:numRef>
              <c:f>'WTotal 21 May'!$AA$3:$AA$19</c:f>
              <c:numCache>
                <c:formatCode>General</c:formatCode>
                <c:ptCount val="17"/>
                <c:pt idx="0">
                  <c:v>50</c:v>
                </c:pt>
                <c:pt idx="1">
                  <c:v>117</c:v>
                </c:pt>
                <c:pt idx="2">
                  <c:v>185</c:v>
                </c:pt>
                <c:pt idx="3">
                  <c:v>262</c:v>
                </c:pt>
                <c:pt idx="4">
                  <c:v>334</c:v>
                </c:pt>
                <c:pt idx="5">
                  <c:v>403</c:v>
                </c:pt>
                <c:pt idx="6">
                  <c:v>486</c:v>
                </c:pt>
                <c:pt idx="7">
                  <c:v>548</c:v>
                </c:pt>
                <c:pt idx="8">
                  <c:v>628</c:v>
                </c:pt>
                <c:pt idx="9">
                  <c:v>696</c:v>
                </c:pt>
                <c:pt idx="10">
                  <c:v>786</c:v>
                </c:pt>
                <c:pt idx="11">
                  <c:v>869</c:v>
                </c:pt>
                <c:pt idx="12">
                  <c:v>943</c:v>
                </c:pt>
                <c:pt idx="13">
                  <c:v>1011</c:v>
                </c:pt>
                <c:pt idx="14">
                  <c:v>1082</c:v>
                </c:pt>
                <c:pt idx="15">
                  <c:v>1131</c:v>
                </c:pt>
                <c:pt idx="16">
                  <c:v>1182</c:v>
                </c:pt>
              </c:numCache>
            </c:numRef>
          </c:yVal>
          <c:smooth val="0"/>
          <c:extLst>
            <c:ext xmlns:c16="http://schemas.microsoft.com/office/drawing/2014/chart" uri="{C3380CC4-5D6E-409C-BE32-E72D297353CC}">
              <c16:uniqueId val="{00000002-47EC-45C0-A4C2-32C007B0AE5C}"/>
            </c:ext>
          </c:extLst>
        </c:ser>
        <c:ser>
          <c:idx val="3"/>
          <c:order val="3"/>
          <c:tx>
            <c:v>Level 4</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47EC-45C0-A4C2-32C007B0AE5C}"/>
                </c:ext>
              </c:extLst>
            </c:dLbl>
            <c:dLbl>
              <c:idx val="1"/>
              <c:layout>
                <c:manualLayout>
                  <c:x val="-8.9440542464780434E-2"/>
                  <c:y val="-1.5247217072127185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47EC-45C0-A4C2-32C007B0AE5C}"/>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'WTotal 21 May'!$AC$3:$AC$4</c:f>
              <c:numCache>
                <c:formatCode>General</c:formatCode>
                <c:ptCount val="2"/>
                <c:pt idx="0">
                  <c:v>12</c:v>
                </c:pt>
                <c:pt idx="1">
                  <c:v>12</c:v>
                </c:pt>
              </c:numCache>
            </c:numRef>
          </c:xVal>
          <c:yVal>
            <c:numRef>
              <c:f>'WTotal 21 May'!$AG$3:$AG$4</c:f>
              <c:numCache>
                <c:formatCode>General</c:formatCode>
                <c:ptCount val="2"/>
                <c:pt idx="0">
                  <c:v>0</c:v>
                </c:pt>
                <c:pt idx="1">
                  <c:v>1893</c:v>
                </c:pt>
              </c:numCache>
            </c:numRef>
          </c:yVal>
          <c:smooth val="0"/>
          <c:extLst>
            <c:ext xmlns:c16="http://schemas.microsoft.com/office/drawing/2014/chart" uri="{C3380CC4-5D6E-409C-BE32-E72D297353CC}">
              <c16:uniqueId val="{00000005-47EC-45C0-A4C2-32C007B0AE5C}"/>
            </c:ext>
          </c:extLst>
        </c:ser>
        <c:ser>
          <c:idx val="4"/>
          <c:order val="4"/>
          <c:tx>
            <c:v>Level 3</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6-47EC-45C0-A4C2-32C007B0AE5C}"/>
                </c:ext>
              </c:extLst>
            </c:dLbl>
            <c:dLbl>
              <c:idx val="1"/>
              <c:dLblPos val="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47EC-45C0-A4C2-32C007B0AE5C}"/>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'WTotal 21 May'!$AC$6:$AC$7</c:f>
              <c:numCache>
                <c:formatCode>General</c:formatCode>
                <c:ptCount val="2"/>
                <c:pt idx="0">
                  <c:v>17</c:v>
                </c:pt>
                <c:pt idx="1">
                  <c:v>17</c:v>
                </c:pt>
              </c:numCache>
            </c:numRef>
          </c:xVal>
          <c:yVal>
            <c:numRef>
              <c:f>'WTotal 21 May'!$AG$6:$AG$7</c:f>
              <c:numCache>
                <c:formatCode>General</c:formatCode>
                <c:ptCount val="2"/>
                <c:pt idx="0">
                  <c:v>0</c:v>
                </c:pt>
                <c:pt idx="1">
                  <c:v>1703.7</c:v>
                </c:pt>
              </c:numCache>
            </c:numRef>
          </c:yVal>
          <c:smooth val="0"/>
          <c:extLst>
            <c:ext xmlns:c16="http://schemas.microsoft.com/office/drawing/2014/chart" uri="{C3380CC4-5D6E-409C-BE32-E72D297353CC}">
              <c16:uniqueId val="{00000008-47EC-45C0-A4C2-32C007B0AE5C}"/>
            </c:ext>
          </c:extLst>
        </c:ser>
        <c:dLbls>
          <c:showLegendKey val="0"/>
          <c:showVal val="0"/>
          <c:showCatName val="0"/>
          <c:showSerName val="0"/>
          <c:showPercent val="0"/>
          <c:showBubbleSize val="0"/>
        </c:dLbls>
        <c:axId val="421656160"/>
        <c:axId val="421658456"/>
      </c:scatterChart>
      <c:valAx>
        <c:axId val="421656160"/>
        <c:scaling>
          <c:orientation val="minMax"/>
          <c:max val="27"/>
          <c:min val="1"/>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a:t>Week</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21658456"/>
        <c:crosses val="autoZero"/>
        <c:crossBetween val="midCat"/>
        <c:majorUnit val="2"/>
      </c:valAx>
      <c:valAx>
        <c:axId val="421658456"/>
        <c:scaling>
          <c:orientation val="minMax"/>
          <c:max val="2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a:t>Cumulative number</a:t>
                </a:r>
                <a:r>
                  <a:rPr lang="en-NZ" baseline="0"/>
                  <a:t> of </a:t>
                </a:r>
                <a:r>
                  <a:rPr lang="en-NZ" sz="800" b="0" i="0" u="none" strike="noStrike" kern="1200" baseline="0">
                    <a:solidFill>
                      <a:sysClr val="windowText" lastClr="000000">
                        <a:lumMod val="65000"/>
                        <a:lumOff val="35000"/>
                      </a:sysClr>
                    </a:solidFill>
                    <a:latin typeface="+mn-lt"/>
                    <a:ea typeface="+mn-ea"/>
                    <a:cs typeface="+mn-cs"/>
                  </a:rPr>
                  <a:t>surgeries</a:t>
                </a:r>
                <a:endParaRPr lang="en-NZ"/>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21656160"/>
        <c:crosses val="autoZero"/>
        <c:crossBetween val="midCat"/>
        <c:majorUnit val="200"/>
      </c:valAx>
      <c:spPr>
        <a:noFill/>
        <a:ln>
          <a:noFill/>
        </a:ln>
        <a:effectLst/>
      </c:spPr>
    </c:plotArea>
    <c:legend>
      <c:legendPos val="t"/>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NZ" sz="1050"/>
              <a:t>Cumulative curative cancer surgeries - Māori</a:t>
            </a:r>
          </a:p>
        </c:rich>
      </c:tx>
      <c:layout>
        <c:manualLayout>
          <c:xMode val="edge"/>
          <c:yMode val="edge"/>
          <c:x val="0.10966266437964553"/>
          <c:y val="2.7777777777777776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v>2018</c:v>
          </c:tx>
          <c:spPr>
            <a:ln w="19050" cap="rnd">
              <a:solidFill>
                <a:schemeClr val="accent3"/>
              </a:solidFill>
              <a:round/>
            </a:ln>
            <a:effectLst/>
          </c:spPr>
          <c:marker>
            <c:symbol val="none"/>
          </c:marker>
          <c:yVal>
            <c:numRef>
              <c:f>'W Māori 21 May'!$S$3:$S$28</c:f>
              <c:numCache>
                <c:formatCode>General</c:formatCode>
                <c:ptCount val="26"/>
                <c:pt idx="0">
                  <c:v>6</c:v>
                </c:pt>
                <c:pt idx="1">
                  <c:v>13</c:v>
                </c:pt>
                <c:pt idx="2">
                  <c:v>17</c:v>
                </c:pt>
                <c:pt idx="3">
                  <c:v>25</c:v>
                </c:pt>
                <c:pt idx="4">
                  <c:v>35</c:v>
                </c:pt>
                <c:pt idx="5">
                  <c:v>41</c:v>
                </c:pt>
                <c:pt idx="6">
                  <c:v>44</c:v>
                </c:pt>
                <c:pt idx="7">
                  <c:v>47</c:v>
                </c:pt>
                <c:pt idx="8">
                  <c:v>59</c:v>
                </c:pt>
                <c:pt idx="9">
                  <c:v>64</c:v>
                </c:pt>
                <c:pt idx="10">
                  <c:v>70</c:v>
                </c:pt>
                <c:pt idx="11">
                  <c:v>78</c:v>
                </c:pt>
                <c:pt idx="12">
                  <c:v>87</c:v>
                </c:pt>
                <c:pt idx="13">
                  <c:v>94</c:v>
                </c:pt>
                <c:pt idx="14">
                  <c:v>103</c:v>
                </c:pt>
                <c:pt idx="15">
                  <c:v>106</c:v>
                </c:pt>
                <c:pt idx="16">
                  <c:v>111</c:v>
                </c:pt>
                <c:pt idx="17">
                  <c:v>114</c:v>
                </c:pt>
                <c:pt idx="18">
                  <c:v>122</c:v>
                </c:pt>
                <c:pt idx="19">
                  <c:v>133</c:v>
                </c:pt>
                <c:pt idx="20">
                  <c:v>146</c:v>
                </c:pt>
                <c:pt idx="21">
                  <c:v>150</c:v>
                </c:pt>
                <c:pt idx="22">
                  <c:v>156</c:v>
                </c:pt>
                <c:pt idx="23">
                  <c:v>164</c:v>
                </c:pt>
                <c:pt idx="24">
                  <c:v>172</c:v>
                </c:pt>
                <c:pt idx="25">
                  <c:v>180</c:v>
                </c:pt>
              </c:numCache>
            </c:numRef>
          </c:yVal>
          <c:smooth val="0"/>
          <c:extLst>
            <c:ext xmlns:c16="http://schemas.microsoft.com/office/drawing/2014/chart" uri="{C3380CC4-5D6E-409C-BE32-E72D297353CC}">
              <c16:uniqueId val="{00000000-E023-4CBB-8F7F-AF3B0D68D08F}"/>
            </c:ext>
          </c:extLst>
        </c:ser>
        <c:ser>
          <c:idx val="1"/>
          <c:order val="1"/>
          <c:tx>
            <c:v>2019</c:v>
          </c:tx>
          <c:spPr>
            <a:ln w="19050" cap="rnd">
              <a:solidFill>
                <a:schemeClr val="accent1"/>
              </a:solidFill>
              <a:round/>
            </a:ln>
            <a:effectLst/>
          </c:spPr>
          <c:marker>
            <c:symbol val="none"/>
          </c:marker>
          <c:yVal>
            <c:numRef>
              <c:f>'W Māori 21 May'!$W$3:$W$28</c:f>
              <c:numCache>
                <c:formatCode>General</c:formatCode>
                <c:ptCount val="26"/>
                <c:pt idx="0">
                  <c:v>3</c:v>
                </c:pt>
                <c:pt idx="1">
                  <c:v>7</c:v>
                </c:pt>
                <c:pt idx="2">
                  <c:v>11</c:v>
                </c:pt>
                <c:pt idx="3">
                  <c:v>16</c:v>
                </c:pt>
                <c:pt idx="4">
                  <c:v>21</c:v>
                </c:pt>
                <c:pt idx="5">
                  <c:v>27</c:v>
                </c:pt>
                <c:pt idx="6">
                  <c:v>32</c:v>
                </c:pt>
                <c:pt idx="7">
                  <c:v>41</c:v>
                </c:pt>
                <c:pt idx="8">
                  <c:v>50</c:v>
                </c:pt>
                <c:pt idx="9">
                  <c:v>57</c:v>
                </c:pt>
                <c:pt idx="10">
                  <c:v>67</c:v>
                </c:pt>
                <c:pt idx="11">
                  <c:v>79</c:v>
                </c:pt>
                <c:pt idx="12">
                  <c:v>84</c:v>
                </c:pt>
                <c:pt idx="13">
                  <c:v>96</c:v>
                </c:pt>
                <c:pt idx="14">
                  <c:v>109</c:v>
                </c:pt>
                <c:pt idx="15">
                  <c:v>117</c:v>
                </c:pt>
                <c:pt idx="16">
                  <c:v>122</c:v>
                </c:pt>
                <c:pt idx="17">
                  <c:v>129</c:v>
                </c:pt>
                <c:pt idx="18">
                  <c:v>136</c:v>
                </c:pt>
                <c:pt idx="19">
                  <c:v>141</c:v>
                </c:pt>
                <c:pt idx="20">
                  <c:v>151</c:v>
                </c:pt>
                <c:pt idx="21">
                  <c:v>160</c:v>
                </c:pt>
                <c:pt idx="22">
                  <c:v>164</c:v>
                </c:pt>
                <c:pt idx="23">
                  <c:v>172</c:v>
                </c:pt>
                <c:pt idx="24">
                  <c:v>177</c:v>
                </c:pt>
                <c:pt idx="25">
                  <c:v>185</c:v>
                </c:pt>
              </c:numCache>
            </c:numRef>
          </c:yVal>
          <c:smooth val="0"/>
          <c:extLst>
            <c:ext xmlns:c16="http://schemas.microsoft.com/office/drawing/2014/chart" uri="{C3380CC4-5D6E-409C-BE32-E72D297353CC}">
              <c16:uniqueId val="{00000001-E023-4CBB-8F7F-AF3B0D68D08F}"/>
            </c:ext>
          </c:extLst>
        </c:ser>
        <c:ser>
          <c:idx val="0"/>
          <c:order val="2"/>
          <c:tx>
            <c:v>2020</c:v>
          </c:tx>
          <c:spPr>
            <a:ln w="19050" cap="rnd">
              <a:solidFill>
                <a:schemeClr val="accent2"/>
              </a:solidFill>
              <a:round/>
            </a:ln>
            <a:effectLst/>
          </c:spPr>
          <c:marker>
            <c:symbol val="none"/>
          </c:marker>
          <c:yVal>
            <c:numRef>
              <c:f>'W Māori 21 May'!$AA$3:$AA$19</c:f>
              <c:numCache>
                <c:formatCode>General</c:formatCode>
                <c:ptCount val="17"/>
                <c:pt idx="0">
                  <c:v>4</c:v>
                </c:pt>
                <c:pt idx="1">
                  <c:v>7</c:v>
                </c:pt>
                <c:pt idx="2">
                  <c:v>12</c:v>
                </c:pt>
                <c:pt idx="3">
                  <c:v>17</c:v>
                </c:pt>
                <c:pt idx="4">
                  <c:v>25</c:v>
                </c:pt>
                <c:pt idx="5">
                  <c:v>30</c:v>
                </c:pt>
                <c:pt idx="6">
                  <c:v>42</c:v>
                </c:pt>
                <c:pt idx="7">
                  <c:v>48</c:v>
                </c:pt>
                <c:pt idx="8">
                  <c:v>62</c:v>
                </c:pt>
                <c:pt idx="9">
                  <c:v>71</c:v>
                </c:pt>
                <c:pt idx="10">
                  <c:v>77</c:v>
                </c:pt>
                <c:pt idx="11">
                  <c:v>90</c:v>
                </c:pt>
                <c:pt idx="12">
                  <c:v>99</c:v>
                </c:pt>
                <c:pt idx="13">
                  <c:v>105</c:v>
                </c:pt>
                <c:pt idx="14">
                  <c:v>116</c:v>
                </c:pt>
                <c:pt idx="15">
                  <c:v>120</c:v>
                </c:pt>
                <c:pt idx="16">
                  <c:v>125</c:v>
                </c:pt>
              </c:numCache>
            </c:numRef>
          </c:yVal>
          <c:smooth val="0"/>
          <c:extLst>
            <c:ext xmlns:c16="http://schemas.microsoft.com/office/drawing/2014/chart" uri="{C3380CC4-5D6E-409C-BE32-E72D297353CC}">
              <c16:uniqueId val="{00000002-E023-4CBB-8F7F-AF3B0D68D08F}"/>
            </c:ext>
          </c:extLst>
        </c:ser>
        <c:ser>
          <c:idx val="3"/>
          <c:order val="3"/>
          <c:tx>
            <c:v>Level 4</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E023-4CBB-8F7F-AF3B0D68D08F}"/>
                </c:ext>
              </c:extLst>
            </c:dLbl>
            <c:dLbl>
              <c:idx val="1"/>
              <c:dLblPos val="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E023-4CBB-8F7F-AF3B0D68D08F}"/>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'W Māori 21 May'!$AC$3:$AC$4</c:f>
              <c:numCache>
                <c:formatCode>General</c:formatCode>
                <c:ptCount val="2"/>
                <c:pt idx="0">
                  <c:v>12</c:v>
                </c:pt>
                <c:pt idx="1">
                  <c:v>12</c:v>
                </c:pt>
              </c:numCache>
            </c:numRef>
          </c:xVal>
          <c:yVal>
            <c:numRef>
              <c:f>'W Māori 21 May'!$AG$3:$AG$4</c:f>
              <c:numCache>
                <c:formatCode>General</c:formatCode>
                <c:ptCount val="2"/>
                <c:pt idx="0">
                  <c:v>0</c:v>
                </c:pt>
                <c:pt idx="1">
                  <c:v>180</c:v>
                </c:pt>
              </c:numCache>
            </c:numRef>
          </c:yVal>
          <c:smooth val="0"/>
          <c:extLst>
            <c:ext xmlns:c16="http://schemas.microsoft.com/office/drawing/2014/chart" uri="{C3380CC4-5D6E-409C-BE32-E72D297353CC}">
              <c16:uniqueId val="{00000005-E023-4CBB-8F7F-AF3B0D68D08F}"/>
            </c:ext>
          </c:extLst>
        </c:ser>
        <c:ser>
          <c:idx val="4"/>
          <c:order val="4"/>
          <c:tx>
            <c:v>Level 3</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6-E023-4CBB-8F7F-AF3B0D68D08F}"/>
                </c:ext>
              </c:extLst>
            </c:dLbl>
            <c:dLbl>
              <c:idx val="1"/>
              <c:dLblPos val="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E023-4CBB-8F7F-AF3B0D68D08F}"/>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'W Māori 21 May'!$AC$6:$AC$7</c:f>
              <c:numCache>
                <c:formatCode>General</c:formatCode>
                <c:ptCount val="2"/>
                <c:pt idx="0">
                  <c:v>17</c:v>
                </c:pt>
                <c:pt idx="1">
                  <c:v>17</c:v>
                </c:pt>
              </c:numCache>
            </c:numRef>
          </c:xVal>
          <c:yVal>
            <c:numRef>
              <c:f>'W Māori 21 May'!$AG$6:$AG$7</c:f>
              <c:numCache>
                <c:formatCode>General</c:formatCode>
                <c:ptCount val="2"/>
                <c:pt idx="0">
                  <c:v>0</c:v>
                </c:pt>
                <c:pt idx="1">
                  <c:v>162</c:v>
                </c:pt>
              </c:numCache>
            </c:numRef>
          </c:yVal>
          <c:smooth val="0"/>
          <c:extLst>
            <c:ext xmlns:c16="http://schemas.microsoft.com/office/drawing/2014/chart" uri="{C3380CC4-5D6E-409C-BE32-E72D297353CC}">
              <c16:uniqueId val="{00000008-E023-4CBB-8F7F-AF3B0D68D08F}"/>
            </c:ext>
          </c:extLst>
        </c:ser>
        <c:dLbls>
          <c:showLegendKey val="0"/>
          <c:showVal val="0"/>
          <c:showCatName val="0"/>
          <c:showSerName val="0"/>
          <c:showPercent val="0"/>
          <c:showBubbleSize val="0"/>
        </c:dLbls>
        <c:axId val="421656160"/>
        <c:axId val="421658456"/>
      </c:scatterChart>
      <c:valAx>
        <c:axId val="421656160"/>
        <c:scaling>
          <c:orientation val="minMax"/>
          <c:max val="27"/>
          <c:min val="1"/>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a:t>Week</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21658456"/>
        <c:crosses val="autoZero"/>
        <c:crossBetween val="midCat"/>
        <c:majorUnit val="2"/>
      </c:valAx>
      <c:valAx>
        <c:axId val="421658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Cumulative number of </a:t>
                </a:r>
                <a:r>
                  <a:rPr lang="en-US" sz="800" b="0" i="0" u="none" strike="noStrike" kern="1200" baseline="0">
                    <a:solidFill>
                      <a:sysClr val="windowText" lastClr="000000">
                        <a:lumMod val="65000"/>
                        <a:lumOff val="35000"/>
                      </a:sysClr>
                    </a:solidFill>
                    <a:latin typeface="+mn-lt"/>
                    <a:ea typeface="+mn-ea"/>
                    <a:cs typeface="+mn-cs"/>
                  </a:rPr>
                  <a:t>surgeries</a:t>
                </a:r>
                <a:endParaRPr lang="en-US"/>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21656160"/>
        <c:crosses val="autoZero"/>
        <c:crossBetween val="midCat"/>
      </c:valAx>
      <c:spPr>
        <a:noFill/>
        <a:ln>
          <a:noFill/>
        </a:ln>
        <a:effectLst/>
      </c:spPr>
    </c:plotArea>
    <c:legend>
      <c:legendPos val="t"/>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NZ"/>
              <a:t>Curative colorectal surgeries - total </a:t>
            </a:r>
            <a:r>
              <a:rPr lang="en-NZ" sz="1000"/>
              <a:t>population</a:t>
            </a:r>
            <a:endParaRPr lang="en-NZ"/>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0"/>
          <c:tx>
            <c:v>2018</c:v>
          </c:tx>
          <c:spPr>
            <a:solidFill>
              <a:schemeClr val="accent3"/>
            </a:solidFill>
            <a:ln>
              <a:noFill/>
            </a:ln>
            <a:effectLst/>
          </c:spPr>
          <c:invertIfNegative val="0"/>
          <c:val>
            <c:numRef>
              <c:f>MTotalU!$B$2:$B$5</c:f>
              <c:numCache>
                <c:formatCode>General</c:formatCode>
                <c:ptCount val="4"/>
                <c:pt idx="0">
                  <c:v>190</c:v>
                </c:pt>
                <c:pt idx="1">
                  <c:v>173</c:v>
                </c:pt>
                <c:pt idx="2">
                  <c:v>225</c:v>
                </c:pt>
                <c:pt idx="3">
                  <c:v>210</c:v>
                </c:pt>
              </c:numCache>
            </c:numRef>
          </c:val>
          <c:extLst>
            <c:ext xmlns:c16="http://schemas.microsoft.com/office/drawing/2014/chart" uri="{C3380CC4-5D6E-409C-BE32-E72D297353CC}">
              <c16:uniqueId val="{00000000-73B4-4A5A-AC90-A1232FD971BF}"/>
            </c:ext>
          </c:extLst>
        </c:ser>
        <c:ser>
          <c:idx val="0"/>
          <c:order val="1"/>
          <c:tx>
            <c:v>2019</c:v>
          </c:tx>
          <c:spPr>
            <a:solidFill>
              <a:schemeClr val="accent1"/>
            </a:solidFill>
            <a:ln>
              <a:noFill/>
            </a:ln>
            <a:effectLst/>
          </c:spPr>
          <c:invertIfNegative val="0"/>
          <c:cat>
            <c:strRef>
              <c:f>MTotalU!$A$2:$A$5</c:f>
              <c:strCache>
                <c:ptCount val="4"/>
                <c:pt idx="0">
                  <c:v>Jan</c:v>
                </c:pt>
                <c:pt idx="1">
                  <c:v>Feb</c:v>
                </c:pt>
                <c:pt idx="2">
                  <c:v>Mar</c:v>
                </c:pt>
                <c:pt idx="3">
                  <c:v>Apr</c:v>
                </c:pt>
              </c:strCache>
            </c:strRef>
          </c:cat>
          <c:val>
            <c:numRef>
              <c:f>MTotalU!$F$2:$F$5</c:f>
              <c:numCache>
                <c:formatCode>General</c:formatCode>
                <c:ptCount val="4"/>
                <c:pt idx="0">
                  <c:v>157</c:v>
                </c:pt>
                <c:pt idx="1">
                  <c:v>196</c:v>
                </c:pt>
                <c:pt idx="2">
                  <c:v>232</c:v>
                </c:pt>
                <c:pt idx="3">
                  <c:v>260</c:v>
                </c:pt>
              </c:numCache>
            </c:numRef>
          </c:val>
          <c:extLst>
            <c:ext xmlns:c16="http://schemas.microsoft.com/office/drawing/2014/chart" uri="{C3380CC4-5D6E-409C-BE32-E72D297353CC}">
              <c16:uniqueId val="{00000001-73B4-4A5A-AC90-A1232FD971BF}"/>
            </c:ext>
          </c:extLst>
        </c:ser>
        <c:ser>
          <c:idx val="1"/>
          <c:order val="2"/>
          <c:tx>
            <c:v>2020</c:v>
          </c:tx>
          <c:spPr>
            <a:solidFill>
              <a:schemeClr val="accent2"/>
            </a:solidFill>
            <a:ln>
              <a:noFill/>
            </a:ln>
            <a:effectLst/>
          </c:spPr>
          <c:invertIfNegative val="0"/>
          <c:val>
            <c:numRef>
              <c:f>MTotalU!$J$2:$J$5</c:f>
              <c:numCache>
                <c:formatCode>General</c:formatCode>
                <c:ptCount val="4"/>
                <c:pt idx="0">
                  <c:v>201</c:v>
                </c:pt>
                <c:pt idx="1">
                  <c:v>190</c:v>
                </c:pt>
                <c:pt idx="2">
                  <c:v>218</c:v>
                </c:pt>
                <c:pt idx="3">
                  <c:v>157</c:v>
                </c:pt>
              </c:numCache>
            </c:numRef>
          </c:val>
          <c:extLst>
            <c:ext xmlns:c16="http://schemas.microsoft.com/office/drawing/2014/chart" uri="{C3380CC4-5D6E-409C-BE32-E72D297353CC}">
              <c16:uniqueId val="{00000002-73B4-4A5A-AC90-A1232FD971BF}"/>
            </c:ext>
          </c:extLst>
        </c:ser>
        <c:dLbls>
          <c:showLegendKey val="0"/>
          <c:showVal val="0"/>
          <c:showCatName val="0"/>
          <c:showSerName val="0"/>
          <c:showPercent val="0"/>
          <c:showBubbleSize val="0"/>
        </c:dLbls>
        <c:gapWidth val="219"/>
        <c:overlap val="-27"/>
        <c:axId val="418308272"/>
        <c:axId val="418310240"/>
      </c:barChart>
      <c:catAx>
        <c:axId val="41830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8310240"/>
        <c:crosses val="autoZero"/>
        <c:auto val="1"/>
        <c:lblAlgn val="ctr"/>
        <c:lblOffset val="100"/>
        <c:noMultiLvlLbl val="0"/>
      </c:catAx>
      <c:valAx>
        <c:axId val="418310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b="0" i="0" u="none" strike="noStrike" kern="1200" baseline="0">
                    <a:solidFill>
                      <a:sysClr val="windowText" lastClr="000000">
                        <a:lumMod val="65000"/>
                        <a:lumOff val="35000"/>
                      </a:sysClr>
                    </a:solidFill>
                    <a:latin typeface="+mn-lt"/>
                    <a:ea typeface="+mn-ea"/>
                    <a:cs typeface="+mn-cs"/>
                  </a:rPr>
                  <a:t>Number of surgeries</a:t>
                </a:r>
                <a:endParaRPr lang="en-NZ" sz="900"/>
              </a:p>
            </c:rich>
          </c:tx>
          <c:layout>
            <c:manualLayout>
              <c:xMode val="edge"/>
              <c:yMode val="edge"/>
              <c:x val="2.0374898125509373E-2"/>
              <c:y val="0.3483132859926251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8308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NZ" sz="1000"/>
              <a:t>Curative colorectal surgeries - Māori</a:t>
            </a:r>
          </a:p>
        </c:rich>
      </c:tx>
      <c:layout>
        <c:manualLayout>
          <c:xMode val="edge"/>
          <c:yMode val="edge"/>
          <c:x val="0.17650307678020694"/>
          <c:y val="3.6319992711191476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0"/>
          <c:tx>
            <c:v>2018</c:v>
          </c:tx>
          <c:spPr>
            <a:solidFill>
              <a:schemeClr val="accent3"/>
            </a:solidFill>
            <a:ln>
              <a:noFill/>
            </a:ln>
            <a:effectLst/>
          </c:spPr>
          <c:invertIfNegative val="0"/>
          <c:val>
            <c:numRef>
              <c:f>MMāoriU!$B$2:$B$5</c:f>
              <c:numCache>
                <c:formatCode>General</c:formatCode>
                <c:ptCount val="4"/>
                <c:pt idx="0">
                  <c:v>18</c:v>
                </c:pt>
                <c:pt idx="1">
                  <c:v>16</c:v>
                </c:pt>
                <c:pt idx="2">
                  <c:v>18</c:v>
                </c:pt>
                <c:pt idx="3">
                  <c:v>13</c:v>
                </c:pt>
              </c:numCache>
            </c:numRef>
          </c:val>
          <c:extLst>
            <c:ext xmlns:c16="http://schemas.microsoft.com/office/drawing/2014/chart" uri="{C3380CC4-5D6E-409C-BE32-E72D297353CC}">
              <c16:uniqueId val="{00000000-DE8A-4BCD-92F3-E0086FC37D9F}"/>
            </c:ext>
          </c:extLst>
        </c:ser>
        <c:ser>
          <c:idx val="0"/>
          <c:order val="1"/>
          <c:tx>
            <c:v>2019</c:v>
          </c:tx>
          <c:spPr>
            <a:solidFill>
              <a:schemeClr val="accent1"/>
            </a:solidFill>
            <a:ln>
              <a:noFill/>
            </a:ln>
            <a:effectLst/>
          </c:spPr>
          <c:invertIfNegative val="0"/>
          <c:cat>
            <c:strRef>
              <c:f>MMāoriU!$A$2:$A$5</c:f>
              <c:strCache>
                <c:ptCount val="4"/>
                <c:pt idx="0">
                  <c:v>Jan</c:v>
                </c:pt>
                <c:pt idx="1">
                  <c:v>Feb</c:v>
                </c:pt>
                <c:pt idx="2">
                  <c:v>Mar</c:v>
                </c:pt>
                <c:pt idx="3">
                  <c:v>Apr</c:v>
                </c:pt>
              </c:strCache>
            </c:strRef>
          </c:cat>
          <c:val>
            <c:numRef>
              <c:f>MMāoriU!$F$2:$F$5</c:f>
              <c:numCache>
                <c:formatCode>General</c:formatCode>
                <c:ptCount val="4"/>
                <c:pt idx="0">
                  <c:v>9</c:v>
                </c:pt>
                <c:pt idx="1">
                  <c:v>18</c:v>
                </c:pt>
                <c:pt idx="2">
                  <c:v>16</c:v>
                </c:pt>
                <c:pt idx="3">
                  <c:v>23</c:v>
                </c:pt>
              </c:numCache>
            </c:numRef>
          </c:val>
          <c:extLst>
            <c:ext xmlns:c16="http://schemas.microsoft.com/office/drawing/2014/chart" uri="{C3380CC4-5D6E-409C-BE32-E72D297353CC}">
              <c16:uniqueId val="{00000001-DE8A-4BCD-92F3-E0086FC37D9F}"/>
            </c:ext>
          </c:extLst>
        </c:ser>
        <c:ser>
          <c:idx val="1"/>
          <c:order val="2"/>
          <c:tx>
            <c:v>2020</c:v>
          </c:tx>
          <c:spPr>
            <a:solidFill>
              <a:schemeClr val="accent2"/>
            </a:solidFill>
            <a:ln>
              <a:noFill/>
            </a:ln>
            <a:effectLst/>
          </c:spPr>
          <c:invertIfNegative val="0"/>
          <c:val>
            <c:numRef>
              <c:f>MMāoriU!$J$2:$J$5</c:f>
              <c:numCache>
                <c:formatCode>General</c:formatCode>
                <c:ptCount val="4"/>
                <c:pt idx="0">
                  <c:v>17</c:v>
                </c:pt>
                <c:pt idx="1">
                  <c:v>20</c:v>
                </c:pt>
                <c:pt idx="2">
                  <c:v>31</c:v>
                </c:pt>
                <c:pt idx="3">
                  <c:v>18</c:v>
                </c:pt>
              </c:numCache>
            </c:numRef>
          </c:val>
          <c:extLst>
            <c:ext xmlns:c16="http://schemas.microsoft.com/office/drawing/2014/chart" uri="{C3380CC4-5D6E-409C-BE32-E72D297353CC}">
              <c16:uniqueId val="{00000002-DE8A-4BCD-92F3-E0086FC37D9F}"/>
            </c:ext>
          </c:extLst>
        </c:ser>
        <c:dLbls>
          <c:showLegendKey val="0"/>
          <c:showVal val="0"/>
          <c:showCatName val="0"/>
          <c:showSerName val="0"/>
          <c:showPercent val="0"/>
          <c:showBubbleSize val="0"/>
        </c:dLbls>
        <c:gapWidth val="219"/>
        <c:overlap val="-27"/>
        <c:axId val="418308272"/>
        <c:axId val="418310240"/>
      </c:barChart>
      <c:catAx>
        <c:axId val="41830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8310240"/>
        <c:crosses val="autoZero"/>
        <c:auto val="1"/>
        <c:lblAlgn val="ctr"/>
        <c:lblOffset val="100"/>
        <c:noMultiLvlLbl val="0"/>
      </c:catAx>
      <c:valAx>
        <c:axId val="418310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a:t>Number of </a:t>
                </a:r>
                <a:r>
                  <a:rPr lang="en-NZ" sz="900" b="0" i="0" u="none" strike="noStrike" kern="1200" baseline="0">
                    <a:solidFill>
                      <a:sysClr val="windowText" lastClr="000000">
                        <a:lumMod val="65000"/>
                        <a:lumOff val="35000"/>
                      </a:sysClr>
                    </a:solidFill>
                    <a:latin typeface="+mn-lt"/>
                    <a:ea typeface="+mn-ea"/>
                    <a:cs typeface="+mn-cs"/>
                  </a:rPr>
                  <a:t>surgeries</a:t>
                </a:r>
                <a:endParaRPr lang="en-NZ" sz="900"/>
              </a:p>
            </c:rich>
          </c:tx>
          <c:layout>
            <c:manualLayout>
              <c:xMode val="edge"/>
              <c:yMode val="edge"/>
              <c:x val="3.3105731429753774E-2"/>
              <c:y val="0.3516478664466007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8308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NZ"/>
              <a:t>Cumulative curative colorectal surgeries - total population</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v>2018</c:v>
          </c:tx>
          <c:spPr>
            <a:ln w="19050" cap="rnd">
              <a:solidFill>
                <a:schemeClr val="accent3"/>
              </a:solidFill>
              <a:round/>
            </a:ln>
            <a:effectLst/>
          </c:spPr>
          <c:marker>
            <c:symbol val="none"/>
          </c:marker>
          <c:yVal>
            <c:numRef>
              <c:f>'WTotal 21 May'!$P$3:$P$28</c:f>
              <c:numCache>
                <c:formatCode>General</c:formatCode>
                <c:ptCount val="26"/>
                <c:pt idx="0">
                  <c:v>24</c:v>
                </c:pt>
                <c:pt idx="1">
                  <c:v>63</c:v>
                </c:pt>
                <c:pt idx="2">
                  <c:v>115</c:v>
                </c:pt>
                <c:pt idx="3">
                  <c:v>167</c:v>
                </c:pt>
                <c:pt idx="4">
                  <c:v>209</c:v>
                </c:pt>
                <c:pt idx="5">
                  <c:v>243</c:v>
                </c:pt>
                <c:pt idx="6">
                  <c:v>286</c:v>
                </c:pt>
                <c:pt idx="7">
                  <c:v>338</c:v>
                </c:pt>
                <c:pt idx="8">
                  <c:v>386</c:v>
                </c:pt>
                <c:pt idx="9">
                  <c:v>434</c:v>
                </c:pt>
                <c:pt idx="10">
                  <c:v>489</c:v>
                </c:pt>
                <c:pt idx="11">
                  <c:v>543</c:v>
                </c:pt>
                <c:pt idx="12">
                  <c:v>592</c:v>
                </c:pt>
                <c:pt idx="13">
                  <c:v>639</c:v>
                </c:pt>
                <c:pt idx="14">
                  <c:v>682</c:v>
                </c:pt>
                <c:pt idx="15">
                  <c:v>746</c:v>
                </c:pt>
                <c:pt idx="16">
                  <c:v>790</c:v>
                </c:pt>
                <c:pt idx="17">
                  <c:v>828</c:v>
                </c:pt>
                <c:pt idx="18">
                  <c:v>886</c:v>
                </c:pt>
                <c:pt idx="19">
                  <c:v>936</c:v>
                </c:pt>
                <c:pt idx="20">
                  <c:v>1001</c:v>
                </c:pt>
                <c:pt idx="21">
                  <c:v>1066</c:v>
                </c:pt>
                <c:pt idx="22">
                  <c:v>1105</c:v>
                </c:pt>
                <c:pt idx="23">
                  <c:v>1149</c:v>
                </c:pt>
                <c:pt idx="24">
                  <c:v>1204</c:v>
                </c:pt>
                <c:pt idx="25">
                  <c:v>1252</c:v>
                </c:pt>
              </c:numCache>
            </c:numRef>
          </c:yVal>
          <c:smooth val="0"/>
          <c:extLst>
            <c:ext xmlns:c16="http://schemas.microsoft.com/office/drawing/2014/chart" uri="{C3380CC4-5D6E-409C-BE32-E72D297353CC}">
              <c16:uniqueId val="{00000000-7EF1-4560-94DC-C9B7BB70343E}"/>
            </c:ext>
          </c:extLst>
        </c:ser>
        <c:ser>
          <c:idx val="1"/>
          <c:order val="1"/>
          <c:tx>
            <c:v>2019</c:v>
          </c:tx>
          <c:spPr>
            <a:ln w="19050" cap="rnd">
              <a:solidFill>
                <a:schemeClr val="accent1"/>
              </a:solidFill>
              <a:round/>
            </a:ln>
            <a:effectLst/>
          </c:spPr>
          <c:marker>
            <c:symbol val="none"/>
          </c:marker>
          <c:yVal>
            <c:numRef>
              <c:f>'WTotal 21 May'!$T$3:$T$28</c:f>
              <c:numCache>
                <c:formatCode>General</c:formatCode>
                <c:ptCount val="26"/>
                <c:pt idx="0">
                  <c:v>26</c:v>
                </c:pt>
                <c:pt idx="1">
                  <c:v>65</c:v>
                </c:pt>
                <c:pt idx="2">
                  <c:v>92</c:v>
                </c:pt>
                <c:pt idx="3">
                  <c:v>135</c:v>
                </c:pt>
                <c:pt idx="4">
                  <c:v>183</c:v>
                </c:pt>
                <c:pt idx="5">
                  <c:v>223</c:v>
                </c:pt>
                <c:pt idx="6">
                  <c:v>262</c:v>
                </c:pt>
                <c:pt idx="7">
                  <c:v>319</c:v>
                </c:pt>
                <c:pt idx="8">
                  <c:v>379</c:v>
                </c:pt>
                <c:pt idx="9">
                  <c:v>431</c:v>
                </c:pt>
                <c:pt idx="10">
                  <c:v>487</c:v>
                </c:pt>
                <c:pt idx="11">
                  <c:v>536</c:v>
                </c:pt>
                <c:pt idx="12">
                  <c:v>595</c:v>
                </c:pt>
                <c:pt idx="13">
                  <c:v>670</c:v>
                </c:pt>
                <c:pt idx="14">
                  <c:v>733</c:v>
                </c:pt>
                <c:pt idx="15">
                  <c:v>783</c:v>
                </c:pt>
                <c:pt idx="16">
                  <c:v>838</c:v>
                </c:pt>
                <c:pt idx="17">
                  <c:v>880</c:v>
                </c:pt>
                <c:pt idx="18">
                  <c:v>930</c:v>
                </c:pt>
                <c:pt idx="19">
                  <c:v>977</c:v>
                </c:pt>
                <c:pt idx="20">
                  <c:v>1020</c:v>
                </c:pt>
                <c:pt idx="21">
                  <c:v>1060</c:v>
                </c:pt>
                <c:pt idx="22">
                  <c:v>1099</c:v>
                </c:pt>
                <c:pt idx="23">
                  <c:v>1151</c:v>
                </c:pt>
                <c:pt idx="24">
                  <c:v>1202</c:v>
                </c:pt>
                <c:pt idx="25">
                  <c:v>1256</c:v>
                </c:pt>
              </c:numCache>
            </c:numRef>
          </c:yVal>
          <c:smooth val="0"/>
          <c:extLst>
            <c:ext xmlns:c16="http://schemas.microsoft.com/office/drawing/2014/chart" uri="{C3380CC4-5D6E-409C-BE32-E72D297353CC}">
              <c16:uniqueId val="{00000001-7EF1-4560-94DC-C9B7BB70343E}"/>
            </c:ext>
          </c:extLst>
        </c:ser>
        <c:ser>
          <c:idx val="0"/>
          <c:order val="2"/>
          <c:tx>
            <c:v>2020</c:v>
          </c:tx>
          <c:spPr>
            <a:ln w="19050" cap="rnd">
              <a:solidFill>
                <a:schemeClr val="accent2"/>
              </a:solidFill>
              <a:round/>
            </a:ln>
            <a:effectLst/>
          </c:spPr>
          <c:marker>
            <c:symbol val="none"/>
          </c:marker>
          <c:yVal>
            <c:numRef>
              <c:f>'WTotal 21 May'!$X$3:$X$19</c:f>
              <c:numCache>
                <c:formatCode>General</c:formatCode>
                <c:ptCount val="17"/>
                <c:pt idx="0">
                  <c:v>42</c:v>
                </c:pt>
                <c:pt idx="1">
                  <c:v>91</c:v>
                </c:pt>
                <c:pt idx="2">
                  <c:v>133</c:v>
                </c:pt>
                <c:pt idx="3">
                  <c:v>172</c:v>
                </c:pt>
                <c:pt idx="4">
                  <c:v>220</c:v>
                </c:pt>
                <c:pt idx="5">
                  <c:v>269</c:v>
                </c:pt>
                <c:pt idx="6">
                  <c:v>324</c:v>
                </c:pt>
                <c:pt idx="7">
                  <c:v>365</c:v>
                </c:pt>
                <c:pt idx="8">
                  <c:v>415</c:v>
                </c:pt>
                <c:pt idx="9">
                  <c:v>450</c:v>
                </c:pt>
                <c:pt idx="10">
                  <c:v>511</c:v>
                </c:pt>
                <c:pt idx="11">
                  <c:v>555</c:v>
                </c:pt>
                <c:pt idx="12">
                  <c:v>609</c:v>
                </c:pt>
                <c:pt idx="13">
                  <c:v>661</c:v>
                </c:pt>
                <c:pt idx="14">
                  <c:v>706</c:v>
                </c:pt>
                <c:pt idx="15">
                  <c:v>731</c:v>
                </c:pt>
                <c:pt idx="16">
                  <c:v>760</c:v>
                </c:pt>
              </c:numCache>
            </c:numRef>
          </c:yVal>
          <c:smooth val="0"/>
          <c:extLst>
            <c:ext xmlns:c16="http://schemas.microsoft.com/office/drawing/2014/chart" uri="{C3380CC4-5D6E-409C-BE32-E72D297353CC}">
              <c16:uniqueId val="{00000002-7EF1-4560-94DC-C9B7BB70343E}"/>
            </c:ext>
          </c:extLst>
        </c:ser>
        <c:ser>
          <c:idx val="3"/>
          <c:order val="3"/>
          <c:tx>
            <c:v>Level 4</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7EF1-4560-94DC-C9B7BB70343E}"/>
                </c:ext>
              </c:extLst>
            </c:dLbl>
            <c:dLbl>
              <c:idx val="1"/>
              <c:dLblPos val="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7EF1-4560-94DC-C9B7BB70343E}"/>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'WTotal 21 May'!$AC$3:$AC$4</c:f>
              <c:numCache>
                <c:formatCode>General</c:formatCode>
                <c:ptCount val="2"/>
                <c:pt idx="0">
                  <c:v>12</c:v>
                </c:pt>
                <c:pt idx="1">
                  <c:v>12</c:v>
                </c:pt>
              </c:numCache>
            </c:numRef>
          </c:xVal>
          <c:yVal>
            <c:numRef>
              <c:f>'WTotal 21 May'!$AD$3:$AD$4</c:f>
              <c:numCache>
                <c:formatCode>General</c:formatCode>
                <c:ptCount val="2"/>
                <c:pt idx="0">
                  <c:v>0</c:v>
                </c:pt>
                <c:pt idx="1">
                  <c:v>1252</c:v>
                </c:pt>
              </c:numCache>
            </c:numRef>
          </c:yVal>
          <c:smooth val="0"/>
          <c:extLst>
            <c:ext xmlns:c16="http://schemas.microsoft.com/office/drawing/2014/chart" uri="{C3380CC4-5D6E-409C-BE32-E72D297353CC}">
              <c16:uniqueId val="{00000005-7EF1-4560-94DC-C9B7BB70343E}"/>
            </c:ext>
          </c:extLst>
        </c:ser>
        <c:ser>
          <c:idx val="4"/>
          <c:order val="4"/>
          <c:tx>
            <c:v>Level 3</c:v>
          </c:tx>
          <c:spPr>
            <a:ln w="28575" cap="rnd">
              <a:solidFill>
                <a:schemeClr val="tx1"/>
              </a:solidFill>
              <a:prstDash val="sysDot"/>
              <a:round/>
            </a:ln>
            <a:effectLst/>
          </c:spPr>
          <c:marker>
            <c:symbol val="none"/>
          </c:marker>
          <c:dPt>
            <c:idx val="1"/>
            <c:marker>
              <c:symbol val="none"/>
            </c:marker>
            <c:bubble3D val="0"/>
            <c:spPr>
              <a:ln w="22225" cap="rnd">
                <a:solidFill>
                  <a:schemeClr val="tx1"/>
                </a:solidFill>
                <a:prstDash val="sysDot"/>
                <a:round/>
              </a:ln>
              <a:effectLst/>
            </c:spPr>
            <c:extLst>
              <c:ext xmlns:c16="http://schemas.microsoft.com/office/drawing/2014/chart" uri="{C3380CC4-5D6E-409C-BE32-E72D297353CC}">
                <c16:uniqueId val="{00000007-7EF1-4560-94DC-C9B7BB70343E}"/>
              </c:ext>
            </c:extLst>
          </c:dPt>
          <c:dLbls>
            <c:dLbl>
              <c:idx val="0"/>
              <c:delete val="1"/>
              <c:extLst>
                <c:ext xmlns:c15="http://schemas.microsoft.com/office/drawing/2012/chart" uri="{CE6537A1-D6FC-4f65-9D91-7224C49458BB}"/>
                <c:ext xmlns:c16="http://schemas.microsoft.com/office/drawing/2014/chart" uri="{C3380CC4-5D6E-409C-BE32-E72D297353CC}">
                  <c16:uniqueId val="{00000008-7EF1-4560-94DC-C9B7BB70343E}"/>
                </c:ext>
              </c:extLst>
            </c:dLbl>
            <c:dLbl>
              <c:idx val="1"/>
              <c:dLblPos val="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7EF1-4560-94DC-C9B7BB70343E}"/>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'WTotal 21 May'!$AC$6:$AC$7</c:f>
              <c:numCache>
                <c:formatCode>General</c:formatCode>
                <c:ptCount val="2"/>
                <c:pt idx="0">
                  <c:v>17</c:v>
                </c:pt>
                <c:pt idx="1">
                  <c:v>17</c:v>
                </c:pt>
              </c:numCache>
            </c:numRef>
          </c:xVal>
          <c:yVal>
            <c:numRef>
              <c:f>'WTotal 21 May'!$AD$6:$AD$7</c:f>
              <c:numCache>
                <c:formatCode>General</c:formatCode>
                <c:ptCount val="2"/>
                <c:pt idx="0">
                  <c:v>0</c:v>
                </c:pt>
                <c:pt idx="1">
                  <c:v>1126.8</c:v>
                </c:pt>
              </c:numCache>
            </c:numRef>
          </c:yVal>
          <c:smooth val="0"/>
          <c:extLst>
            <c:ext xmlns:c16="http://schemas.microsoft.com/office/drawing/2014/chart" uri="{C3380CC4-5D6E-409C-BE32-E72D297353CC}">
              <c16:uniqueId val="{00000009-7EF1-4560-94DC-C9B7BB70343E}"/>
            </c:ext>
          </c:extLst>
        </c:ser>
        <c:dLbls>
          <c:showLegendKey val="0"/>
          <c:showVal val="0"/>
          <c:showCatName val="0"/>
          <c:showSerName val="0"/>
          <c:showPercent val="0"/>
          <c:showBubbleSize val="0"/>
        </c:dLbls>
        <c:axId val="421656160"/>
        <c:axId val="421658456"/>
      </c:scatterChart>
      <c:valAx>
        <c:axId val="421656160"/>
        <c:scaling>
          <c:orientation val="minMax"/>
          <c:max val="27"/>
          <c:min val="1"/>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a:t>Week</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21658456"/>
        <c:crosses val="autoZero"/>
        <c:crossBetween val="midCat"/>
        <c:majorUnit val="2"/>
      </c:valAx>
      <c:valAx>
        <c:axId val="421658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a:t>Cumulative number of </a:t>
                </a:r>
                <a:r>
                  <a:rPr lang="en-NZ" sz="800" b="0" i="0" u="none" strike="noStrike" kern="1200" baseline="0">
                    <a:solidFill>
                      <a:sysClr val="windowText" lastClr="000000">
                        <a:lumMod val="65000"/>
                        <a:lumOff val="35000"/>
                      </a:sysClr>
                    </a:solidFill>
                    <a:latin typeface="+mn-lt"/>
                    <a:ea typeface="+mn-ea"/>
                    <a:cs typeface="+mn-cs"/>
                  </a:rPr>
                  <a:t>surgeries</a:t>
                </a:r>
                <a:endParaRPr lang="en-NZ"/>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21656160"/>
        <c:crosses val="autoZero"/>
        <c:crossBetween val="midCat"/>
      </c:valAx>
      <c:spPr>
        <a:noFill/>
        <a:ln>
          <a:noFill/>
        </a:ln>
        <a:effectLst/>
      </c:spPr>
    </c:plotArea>
    <c:legend>
      <c:legendPos val="t"/>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NZ"/>
              <a:t>Cumulative colorectal </a:t>
            </a:r>
            <a:r>
              <a:rPr lang="en-NZ" sz="960" b="0" i="0" u="none" strike="noStrike" kern="1200" spc="0" baseline="0">
                <a:solidFill>
                  <a:sysClr val="windowText" lastClr="000000">
                    <a:lumMod val="65000"/>
                    <a:lumOff val="35000"/>
                  </a:sysClr>
                </a:solidFill>
                <a:latin typeface="+mn-lt"/>
                <a:ea typeface="+mn-ea"/>
                <a:cs typeface="+mn-cs"/>
              </a:rPr>
              <a:t>surgeries</a:t>
            </a:r>
            <a:r>
              <a:rPr lang="en-NZ"/>
              <a:t> - Māori</a:t>
            </a:r>
          </a:p>
        </c:rich>
      </c:tx>
      <c:layout>
        <c:manualLayout>
          <c:xMode val="edge"/>
          <c:yMode val="edge"/>
          <c:x val="0.17023579687548368"/>
          <c:y val="5.8508044856167722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066920173153403"/>
          <c:y val="0.22006316090125996"/>
          <c:w val="0.78911974923060124"/>
          <c:h val="0.62225594121427319"/>
        </c:manualLayout>
      </c:layout>
      <c:scatterChart>
        <c:scatterStyle val="lineMarker"/>
        <c:varyColors val="0"/>
        <c:ser>
          <c:idx val="2"/>
          <c:order val="0"/>
          <c:tx>
            <c:v>2018</c:v>
          </c:tx>
          <c:spPr>
            <a:ln w="19050" cap="rnd">
              <a:solidFill>
                <a:schemeClr val="accent3"/>
              </a:solidFill>
              <a:round/>
            </a:ln>
            <a:effectLst/>
          </c:spPr>
          <c:marker>
            <c:symbol val="none"/>
          </c:marker>
          <c:yVal>
            <c:numRef>
              <c:f>'W Māori 21 May'!$P$3:$P$28</c:f>
              <c:numCache>
                <c:formatCode>General</c:formatCode>
                <c:ptCount val="26"/>
                <c:pt idx="0">
                  <c:v>3</c:v>
                </c:pt>
                <c:pt idx="1">
                  <c:v>7</c:v>
                </c:pt>
                <c:pt idx="2">
                  <c:v>11</c:v>
                </c:pt>
                <c:pt idx="3">
                  <c:v>16</c:v>
                </c:pt>
                <c:pt idx="4">
                  <c:v>23</c:v>
                </c:pt>
                <c:pt idx="5">
                  <c:v>26</c:v>
                </c:pt>
                <c:pt idx="6">
                  <c:v>29</c:v>
                </c:pt>
                <c:pt idx="7">
                  <c:v>31</c:v>
                </c:pt>
                <c:pt idx="8">
                  <c:v>36</c:v>
                </c:pt>
                <c:pt idx="9">
                  <c:v>37</c:v>
                </c:pt>
                <c:pt idx="10">
                  <c:v>41</c:v>
                </c:pt>
                <c:pt idx="11">
                  <c:v>46</c:v>
                </c:pt>
                <c:pt idx="12">
                  <c:v>53</c:v>
                </c:pt>
                <c:pt idx="13">
                  <c:v>55</c:v>
                </c:pt>
                <c:pt idx="14">
                  <c:v>60</c:v>
                </c:pt>
                <c:pt idx="15">
                  <c:v>62</c:v>
                </c:pt>
                <c:pt idx="16">
                  <c:v>65</c:v>
                </c:pt>
                <c:pt idx="17">
                  <c:v>66</c:v>
                </c:pt>
                <c:pt idx="18">
                  <c:v>71</c:v>
                </c:pt>
                <c:pt idx="19">
                  <c:v>79</c:v>
                </c:pt>
                <c:pt idx="20">
                  <c:v>88</c:v>
                </c:pt>
                <c:pt idx="21">
                  <c:v>91</c:v>
                </c:pt>
                <c:pt idx="22">
                  <c:v>93</c:v>
                </c:pt>
                <c:pt idx="23">
                  <c:v>96</c:v>
                </c:pt>
                <c:pt idx="24">
                  <c:v>100</c:v>
                </c:pt>
                <c:pt idx="25">
                  <c:v>105</c:v>
                </c:pt>
              </c:numCache>
            </c:numRef>
          </c:yVal>
          <c:smooth val="0"/>
          <c:extLst>
            <c:ext xmlns:c16="http://schemas.microsoft.com/office/drawing/2014/chart" uri="{C3380CC4-5D6E-409C-BE32-E72D297353CC}">
              <c16:uniqueId val="{00000000-2D9E-4751-96F6-82D4D8795E86}"/>
            </c:ext>
          </c:extLst>
        </c:ser>
        <c:ser>
          <c:idx val="1"/>
          <c:order val="1"/>
          <c:tx>
            <c:v>2019</c:v>
          </c:tx>
          <c:spPr>
            <a:ln w="19050" cap="rnd">
              <a:solidFill>
                <a:schemeClr val="accent1"/>
              </a:solidFill>
              <a:round/>
            </a:ln>
            <a:effectLst/>
          </c:spPr>
          <c:marker>
            <c:symbol val="none"/>
          </c:marker>
          <c:yVal>
            <c:numRef>
              <c:f>'W Māori 21 May'!$T$3:$T$28</c:f>
              <c:numCache>
                <c:formatCode>General</c:formatCode>
                <c:ptCount val="26"/>
                <c:pt idx="0">
                  <c:v>3</c:v>
                </c:pt>
                <c:pt idx="1">
                  <c:v>4</c:v>
                </c:pt>
                <c:pt idx="2">
                  <c:v>6</c:v>
                </c:pt>
                <c:pt idx="3">
                  <c:v>7</c:v>
                </c:pt>
                <c:pt idx="4">
                  <c:v>9</c:v>
                </c:pt>
                <c:pt idx="5">
                  <c:v>15</c:v>
                </c:pt>
                <c:pt idx="6">
                  <c:v>18</c:v>
                </c:pt>
                <c:pt idx="7">
                  <c:v>23</c:v>
                </c:pt>
                <c:pt idx="8">
                  <c:v>29</c:v>
                </c:pt>
                <c:pt idx="9">
                  <c:v>32</c:v>
                </c:pt>
                <c:pt idx="10">
                  <c:v>34</c:v>
                </c:pt>
                <c:pt idx="11">
                  <c:v>40</c:v>
                </c:pt>
                <c:pt idx="12">
                  <c:v>43</c:v>
                </c:pt>
                <c:pt idx="13">
                  <c:v>49</c:v>
                </c:pt>
                <c:pt idx="14">
                  <c:v>58</c:v>
                </c:pt>
                <c:pt idx="15">
                  <c:v>61</c:v>
                </c:pt>
                <c:pt idx="16">
                  <c:v>64</c:v>
                </c:pt>
                <c:pt idx="17">
                  <c:v>69</c:v>
                </c:pt>
                <c:pt idx="18">
                  <c:v>72</c:v>
                </c:pt>
                <c:pt idx="19">
                  <c:v>75</c:v>
                </c:pt>
                <c:pt idx="20">
                  <c:v>78</c:v>
                </c:pt>
                <c:pt idx="21">
                  <c:v>81</c:v>
                </c:pt>
                <c:pt idx="22">
                  <c:v>82</c:v>
                </c:pt>
                <c:pt idx="23">
                  <c:v>87</c:v>
                </c:pt>
                <c:pt idx="24">
                  <c:v>89</c:v>
                </c:pt>
                <c:pt idx="25">
                  <c:v>95</c:v>
                </c:pt>
              </c:numCache>
            </c:numRef>
          </c:yVal>
          <c:smooth val="0"/>
          <c:extLst>
            <c:ext xmlns:c16="http://schemas.microsoft.com/office/drawing/2014/chart" uri="{C3380CC4-5D6E-409C-BE32-E72D297353CC}">
              <c16:uniqueId val="{00000001-2D9E-4751-96F6-82D4D8795E86}"/>
            </c:ext>
          </c:extLst>
        </c:ser>
        <c:ser>
          <c:idx val="0"/>
          <c:order val="2"/>
          <c:tx>
            <c:v>2020</c:v>
          </c:tx>
          <c:spPr>
            <a:ln w="19050" cap="rnd">
              <a:solidFill>
                <a:schemeClr val="accent2"/>
              </a:solidFill>
              <a:round/>
            </a:ln>
            <a:effectLst/>
          </c:spPr>
          <c:marker>
            <c:symbol val="none"/>
          </c:marker>
          <c:yVal>
            <c:numRef>
              <c:f>'W Māori 21 May'!$X$3:$X$19</c:f>
              <c:numCache>
                <c:formatCode>General</c:formatCode>
                <c:ptCount val="17"/>
                <c:pt idx="0">
                  <c:v>3</c:v>
                </c:pt>
                <c:pt idx="1">
                  <c:v>5</c:v>
                </c:pt>
                <c:pt idx="2">
                  <c:v>8</c:v>
                </c:pt>
                <c:pt idx="3">
                  <c:v>12</c:v>
                </c:pt>
                <c:pt idx="4">
                  <c:v>18</c:v>
                </c:pt>
                <c:pt idx="5">
                  <c:v>22</c:v>
                </c:pt>
                <c:pt idx="6">
                  <c:v>29</c:v>
                </c:pt>
                <c:pt idx="7">
                  <c:v>35</c:v>
                </c:pt>
                <c:pt idx="8">
                  <c:v>43</c:v>
                </c:pt>
                <c:pt idx="9">
                  <c:v>46</c:v>
                </c:pt>
                <c:pt idx="10">
                  <c:v>50</c:v>
                </c:pt>
                <c:pt idx="11">
                  <c:v>60</c:v>
                </c:pt>
                <c:pt idx="12">
                  <c:v>68</c:v>
                </c:pt>
                <c:pt idx="13">
                  <c:v>72</c:v>
                </c:pt>
                <c:pt idx="14">
                  <c:v>81</c:v>
                </c:pt>
                <c:pt idx="15">
                  <c:v>84</c:v>
                </c:pt>
                <c:pt idx="16">
                  <c:v>86</c:v>
                </c:pt>
              </c:numCache>
            </c:numRef>
          </c:yVal>
          <c:smooth val="0"/>
          <c:extLst>
            <c:ext xmlns:c16="http://schemas.microsoft.com/office/drawing/2014/chart" uri="{C3380CC4-5D6E-409C-BE32-E72D297353CC}">
              <c16:uniqueId val="{00000002-2D9E-4751-96F6-82D4D8795E86}"/>
            </c:ext>
          </c:extLst>
        </c:ser>
        <c:ser>
          <c:idx val="3"/>
          <c:order val="3"/>
          <c:tx>
            <c:v>Level 4</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2D9E-4751-96F6-82D4D8795E86}"/>
                </c:ext>
              </c:extLst>
            </c:dLbl>
            <c:dLbl>
              <c:idx val="1"/>
              <c:dLblPos val="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2D9E-4751-96F6-82D4D8795E86}"/>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'W Māori 21 May'!$AC$3:$AC$4</c:f>
              <c:numCache>
                <c:formatCode>General</c:formatCode>
                <c:ptCount val="2"/>
                <c:pt idx="0">
                  <c:v>12</c:v>
                </c:pt>
                <c:pt idx="1">
                  <c:v>12</c:v>
                </c:pt>
              </c:numCache>
            </c:numRef>
          </c:xVal>
          <c:yVal>
            <c:numRef>
              <c:f>'W Māori 21 May'!$AD$3:$AD$4</c:f>
              <c:numCache>
                <c:formatCode>General</c:formatCode>
                <c:ptCount val="2"/>
                <c:pt idx="0">
                  <c:v>0</c:v>
                </c:pt>
                <c:pt idx="1">
                  <c:v>105</c:v>
                </c:pt>
              </c:numCache>
            </c:numRef>
          </c:yVal>
          <c:smooth val="0"/>
          <c:extLst>
            <c:ext xmlns:c16="http://schemas.microsoft.com/office/drawing/2014/chart" uri="{C3380CC4-5D6E-409C-BE32-E72D297353CC}">
              <c16:uniqueId val="{00000005-2D9E-4751-96F6-82D4D8795E86}"/>
            </c:ext>
          </c:extLst>
        </c:ser>
        <c:ser>
          <c:idx val="4"/>
          <c:order val="4"/>
          <c:tx>
            <c:v>Level 3</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6-2D9E-4751-96F6-82D4D8795E86}"/>
                </c:ext>
              </c:extLst>
            </c:dLbl>
            <c:dLbl>
              <c:idx val="1"/>
              <c:dLblPos val="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2D9E-4751-96F6-82D4D8795E86}"/>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'W Māori 21 May'!$AC$6:$AC$7</c:f>
              <c:numCache>
                <c:formatCode>General</c:formatCode>
                <c:ptCount val="2"/>
                <c:pt idx="0">
                  <c:v>17</c:v>
                </c:pt>
                <c:pt idx="1">
                  <c:v>17</c:v>
                </c:pt>
              </c:numCache>
            </c:numRef>
          </c:xVal>
          <c:yVal>
            <c:numRef>
              <c:f>'W Māori 21 May'!$AD$6:$AD$7</c:f>
              <c:numCache>
                <c:formatCode>General</c:formatCode>
                <c:ptCount val="2"/>
                <c:pt idx="0">
                  <c:v>0</c:v>
                </c:pt>
                <c:pt idx="1">
                  <c:v>94.5</c:v>
                </c:pt>
              </c:numCache>
            </c:numRef>
          </c:yVal>
          <c:smooth val="0"/>
          <c:extLst>
            <c:ext xmlns:c16="http://schemas.microsoft.com/office/drawing/2014/chart" uri="{C3380CC4-5D6E-409C-BE32-E72D297353CC}">
              <c16:uniqueId val="{00000008-2D9E-4751-96F6-82D4D8795E86}"/>
            </c:ext>
          </c:extLst>
        </c:ser>
        <c:dLbls>
          <c:showLegendKey val="0"/>
          <c:showVal val="0"/>
          <c:showCatName val="0"/>
          <c:showSerName val="0"/>
          <c:showPercent val="0"/>
          <c:showBubbleSize val="0"/>
        </c:dLbls>
        <c:axId val="421656160"/>
        <c:axId val="421658456"/>
      </c:scatterChart>
      <c:valAx>
        <c:axId val="421656160"/>
        <c:scaling>
          <c:orientation val="minMax"/>
          <c:max val="27"/>
          <c:min val="1"/>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a:t>Week</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21658456"/>
        <c:crosses val="autoZero"/>
        <c:crossBetween val="midCat"/>
        <c:majorUnit val="2"/>
      </c:valAx>
      <c:valAx>
        <c:axId val="421658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a:t>Cumulative number of </a:t>
                </a:r>
                <a:r>
                  <a:rPr lang="en-NZ" sz="800" b="0" i="0" u="none" strike="noStrike" kern="1200" baseline="0">
                    <a:solidFill>
                      <a:sysClr val="windowText" lastClr="000000">
                        <a:lumMod val="65000"/>
                        <a:lumOff val="35000"/>
                      </a:sysClr>
                    </a:solidFill>
                    <a:latin typeface="+mn-lt"/>
                    <a:ea typeface="+mn-ea"/>
                    <a:cs typeface="+mn-cs"/>
                  </a:rPr>
                  <a:t>surgeries</a:t>
                </a:r>
                <a:endParaRPr lang="en-NZ"/>
              </a:p>
            </c:rich>
          </c:tx>
          <c:layout>
            <c:manualLayout>
              <c:xMode val="edge"/>
              <c:yMode val="edge"/>
              <c:x val="2.4829298572315334E-2"/>
              <c:y val="0.3038415849296661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21656160"/>
        <c:crosses val="autoZero"/>
        <c:crossBetween val="midCat"/>
      </c:valAx>
      <c:spPr>
        <a:noFill/>
        <a:ln>
          <a:noFill/>
        </a:ln>
        <a:effectLst/>
      </c:spPr>
    </c:plotArea>
    <c:legend>
      <c:legendPos val="t"/>
      <c:legendEntry>
        <c:idx val="3"/>
        <c:delete val="1"/>
      </c:legendEntry>
      <c:legendEntry>
        <c:idx val="4"/>
        <c:delete val="1"/>
      </c:legendEntry>
      <c:layout>
        <c:manualLayout>
          <c:xMode val="edge"/>
          <c:yMode val="edge"/>
          <c:x val="0.20040860814185932"/>
          <c:y val="0.15953193564115065"/>
          <c:w val="0.59918278371628131"/>
          <c:h val="7.638870226545914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NZ" sz="1050"/>
              <a:t>Weekly colonoscopies</a:t>
            </a:r>
            <a:r>
              <a:rPr lang="en-NZ" sz="1050" baseline="0"/>
              <a:t> and colorectal surgeries 2020</a:t>
            </a:r>
            <a:endParaRPr lang="en-NZ" sz="1050"/>
          </a:p>
        </c:rich>
      </c:tx>
      <c:layout>
        <c:manualLayout>
          <c:xMode val="edge"/>
          <c:yMode val="edge"/>
          <c:x val="0.22919254508379178"/>
          <c:y val="3.237523182462828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804137212909735"/>
          <c:y val="0.14823848238482384"/>
          <c:w val="0.72878433140642696"/>
          <c:h val="0.63370178321205783"/>
        </c:manualLayout>
      </c:layout>
      <c:scatterChart>
        <c:scatterStyle val="lineMarker"/>
        <c:varyColors val="0"/>
        <c:ser>
          <c:idx val="0"/>
          <c:order val="0"/>
          <c:tx>
            <c:v>Colonoscopies</c:v>
          </c:tx>
          <c:spPr>
            <a:ln w="19050" cap="rnd">
              <a:solidFill>
                <a:schemeClr val="accent1"/>
              </a:solidFill>
              <a:round/>
            </a:ln>
            <a:effectLst/>
          </c:spPr>
          <c:marker>
            <c:symbol val="none"/>
          </c:marker>
          <c:yVal>
            <c:numRef>
              <c:f>'W Colonoscopies21M'!$D$3:$D$19</c:f>
              <c:numCache>
                <c:formatCode>General</c:formatCode>
                <c:ptCount val="17"/>
                <c:pt idx="0">
                  <c:v>438</c:v>
                </c:pt>
                <c:pt idx="1">
                  <c:v>997</c:v>
                </c:pt>
                <c:pt idx="2">
                  <c:v>1072</c:v>
                </c:pt>
                <c:pt idx="3">
                  <c:v>905</c:v>
                </c:pt>
                <c:pt idx="4">
                  <c:v>1149</c:v>
                </c:pt>
                <c:pt idx="5">
                  <c:v>842</c:v>
                </c:pt>
                <c:pt idx="6">
                  <c:v>1190</c:v>
                </c:pt>
                <c:pt idx="7">
                  <c:v>1110</c:v>
                </c:pt>
                <c:pt idx="8">
                  <c:v>1203</c:v>
                </c:pt>
                <c:pt idx="9">
                  <c:v>1174</c:v>
                </c:pt>
                <c:pt idx="10">
                  <c:v>1197</c:v>
                </c:pt>
                <c:pt idx="11">
                  <c:v>971</c:v>
                </c:pt>
                <c:pt idx="12">
                  <c:v>192</c:v>
                </c:pt>
                <c:pt idx="13">
                  <c:v>118</c:v>
                </c:pt>
                <c:pt idx="14">
                  <c:v>82</c:v>
                </c:pt>
                <c:pt idx="15">
                  <c:v>141</c:v>
                </c:pt>
                <c:pt idx="16">
                  <c:v>233</c:v>
                </c:pt>
              </c:numCache>
            </c:numRef>
          </c:yVal>
          <c:smooth val="0"/>
          <c:extLst>
            <c:ext xmlns:c16="http://schemas.microsoft.com/office/drawing/2014/chart" uri="{C3380CC4-5D6E-409C-BE32-E72D297353CC}">
              <c16:uniqueId val="{00000000-21E8-4E09-9A9C-000EC4D45703}"/>
            </c:ext>
          </c:extLst>
        </c:ser>
        <c:ser>
          <c:idx val="2"/>
          <c:order val="2"/>
          <c:tx>
            <c:v>Level4</c:v>
          </c:tx>
          <c:spPr>
            <a:ln w="19050"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1-21E8-4E09-9A9C-000EC4D457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'W Colonoscopies21M'!$M$3:$M$4</c:f>
              <c:numCache>
                <c:formatCode>General</c:formatCode>
                <c:ptCount val="2"/>
                <c:pt idx="0">
                  <c:v>12</c:v>
                </c:pt>
                <c:pt idx="1">
                  <c:v>12</c:v>
                </c:pt>
              </c:numCache>
            </c:numRef>
          </c:xVal>
          <c:yVal>
            <c:numRef>
              <c:f>'W Colonoscopies21M'!$N$3:$N$4</c:f>
              <c:numCache>
                <c:formatCode>General</c:formatCode>
                <c:ptCount val="2"/>
                <c:pt idx="0">
                  <c:v>0</c:v>
                </c:pt>
                <c:pt idx="1">
                  <c:v>25963</c:v>
                </c:pt>
              </c:numCache>
            </c:numRef>
          </c:yVal>
          <c:smooth val="0"/>
          <c:extLst>
            <c:ext xmlns:c16="http://schemas.microsoft.com/office/drawing/2014/chart" uri="{C3380CC4-5D6E-409C-BE32-E72D297353CC}">
              <c16:uniqueId val="{00000002-21E8-4E09-9A9C-000EC4D45703}"/>
            </c:ext>
          </c:extLst>
        </c:ser>
        <c:ser>
          <c:idx val="3"/>
          <c:order val="3"/>
          <c:tx>
            <c:v>Level 3</c:v>
          </c:tx>
          <c:spPr>
            <a:ln w="19050"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21E8-4E09-9A9C-000EC4D45703}"/>
                </c:ext>
              </c:extLst>
            </c:dLbl>
            <c:dLbl>
              <c:idx val="1"/>
              <c:layout>
                <c:manualLayout>
                  <c:x val="-0.11749781277340343"/>
                  <c:y val="-4.1666666666666685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21E8-4E09-9A9C-000EC4D457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'W Colonoscopies21M'!$M$6:$M$7</c:f>
              <c:numCache>
                <c:formatCode>General</c:formatCode>
                <c:ptCount val="2"/>
                <c:pt idx="0">
                  <c:v>17</c:v>
                </c:pt>
                <c:pt idx="1">
                  <c:v>17</c:v>
                </c:pt>
              </c:numCache>
            </c:numRef>
          </c:xVal>
          <c:yVal>
            <c:numRef>
              <c:f>'W Colonoscopies21M'!$N$6:$N$7</c:f>
              <c:numCache>
                <c:formatCode>General</c:formatCode>
                <c:ptCount val="2"/>
                <c:pt idx="0">
                  <c:v>0</c:v>
                </c:pt>
                <c:pt idx="1">
                  <c:v>19913.400000000001</c:v>
                </c:pt>
              </c:numCache>
            </c:numRef>
          </c:yVal>
          <c:smooth val="0"/>
          <c:extLst>
            <c:ext xmlns:c16="http://schemas.microsoft.com/office/drawing/2014/chart" uri="{C3380CC4-5D6E-409C-BE32-E72D297353CC}">
              <c16:uniqueId val="{00000005-21E8-4E09-9A9C-000EC4D45703}"/>
            </c:ext>
          </c:extLst>
        </c:ser>
        <c:dLbls>
          <c:showLegendKey val="0"/>
          <c:showVal val="0"/>
          <c:showCatName val="0"/>
          <c:showSerName val="0"/>
          <c:showPercent val="0"/>
          <c:showBubbleSize val="0"/>
        </c:dLbls>
        <c:axId val="976551296"/>
        <c:axId val="976555560"/>
      </c:scatterChart>
      <c:scatterChart>
        <c:scatterStyle val="lineMarker"/>
        <c:varyColors val="0"/>
        <c:ser>
          <c:idx val="1"/>
          <c:order val="1"/>
          <c:tx>
            <c:v>Colorectal surguries</c:v>
          </c:tx>
          <c:spPr>
            <a:ln w="19050" cap="rnd">
              <a:solidFill>
                <a:schemeClr val="accent2"/>
              </a:solidFill>
              <a:round/>
            </a:ln>
            <a:effectLst/>
          </c:spPr>
          <c:marker>
            <c:symbol val="none"/>
          </c:marker>
          <c:xVal>
            <c:numRef>
              <c:f>'W Colonoscopies21M'!$A$3:$A$19</c:f>
              <c:numCache>
                <c:formatCode>General</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xVal>
          <c:yVal>
            <c:numRef>
              <c:f>'W Colonoscopies21M'!$E$3:$E$19</c:f>
              <c:numCache>
                <c:formatCode>General</c:formatCode>
                <c:ptCount val="17"/>
                <c:pt idx="0">
                  <c:v>42</c:v>
                </c:pt>
                <c:pt idx="1">
                  <c:v>49</c:v>
                </c:pt>
                <c:pt idx="2">
                  <c:v>42</c:v>
                </c:pt>
                <c:pt idx="3">
                  <c:v>39</c:v>
                </c:pt>
                <c:pt idx="4">
                  <c:v>48</c:v>
                </c:pt>
                <c:pt idx="5">
                  <c:v>49</c:v>
                </c:pt>
                <c:pt idx="6">
                  <c:v>55</c:v>
                </c:pt>
                <c:pt idx="7">
                  <c:v>41</c:v>
                </c:pt>
                <c:pt idx="8">
                  <c:v>50</c:v>
                </c:pt>
                <c:pt idx="9">
                  <c:v>35</c:v>
                </c:pt>
                <c:pt idx="10">
                  <c:v>61</c:v>
                </c:pt>
                <c:pt idx="11">
                  <c:v>44</c:v>
                </c:pt>
                <c:pt idx="12">
                  <c:v>54</c:v>
                </c:pt>
                <c:pt idx="13">
                  <c:v>52</c:v>
                </c:pt>
                <c:pt idx="14">
                  <c:v>45</c:v>
                </c:pt>
                <c:pt idx="15">
                  <c:v>25</c:v>
                </c:pt>
                <c:pt idx="16">
                  <c:v>29</c:v>
                </c:pt>
              </c:numCache>
            </c:numRef>
          </c:yVal>
          <c:smooth val="0"/>
          <c:extLst>
            <c:ext xmlns:c16="http://schemas.microsoft.com/office/drawing/2014/chart" uri="{C3380CC4-5D6E-409C-BE32-E72D297353CC}">
              <c16:uniqueId val="{00000006-21E8-4E09-9A9C-000EC4D45703}"/>
            </c:ext>
          </c:extLst>
        </c:ser>
        <c:dLbls>
          <c:showLegendKey val="0"/>
          <c:showVal val="0"/>
          <c:showCatName val="0"/>
          <c:showSerName val="0"/>
          <c:showPercent val="0"/>
          <c:showBubbleSize val="0"/>
        </c:dLbls>
        <c:axId val="2131958768"/>
        <c:axId val="2131965984"/>
      </c:scatterChart>
      <c:valAx>
        <c:axId val="976551296"/>
        <c:scaling>
          <c:orientation val="minMax"/>
          <c:max val="18"/>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Week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6555560"/>
        <c:crosses val="autoZero"/>
        <c:crossBetween val="midCat"/>
        <c:majorUnit val="2"/>
      </c:valAx>
      <c:valAx>
        <c:axId val="976555560"/>
        <c:scaling>
          <c:orientation val="minMax"/>
          <c:max val="13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Number</a:t>
                </a:r>
                <a:r>
                  <a:rPr lang="en-NZ" baseline="0"/>
                  <a:t> of c</a:t>
                </a:r>
                <a:r>
                  <a:rPr lang="en-NZ"/>
                  <a:t>olonoscopies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76551296"/>
        <c:crosses val="autoZero"/>
        <c:crossBetween val="midCat"/>
      </c:valAx>
      <c:valAx>
        <c:axId val="213196598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Number</a:t>
                </a:r>
                <a:r>
                  <a:rPr lang="en-NZ" baseline="0"/>
                  <a:t> of colorectal </a:t>
                </a:r>
                <a:r>
                  <a:rPr lang="en-NZ" sz="1000" b="0" i="0" u="none" strike="noStrike" kern="1200" baseline="0">
                    <a:solidFill>
                      <a:sysClr val="windowText" lastClr="000000">
                        <a:lumMod val="65000"/>
                        <a:lumOff val="35000"/>
                      </a:sysClr>
                    </a:solidFill>
                    <a:latin typeface="+mn-lt"/>
                    <a:ea typeface="+mn-ea"/>
                    <a:cs typeface="+mn-cs"/>
                  </a:rPr>
                  <a:t>surgeries</a:t>
                </a:r>
                <a:endParaRPr lang="en-N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131958768"/>
        <c:crosses val="max"/>
        <c:crossBetween val="midCat"/>
      </c:valAx>
      <c:valAx>
        <c:axId val="2131958768"/>
        <c:scaling>
          <c:orientation val="minMax"/>
        </c:scaling>
        <c:delete val="1"/>
        <c:axPos val="b"/>
        <c:numFmt formatCode="General" sourceLinked="1"/>
        <c:majorTickMark val="out"/>
        <c:minorTickMark val="none"/>
        <c:tickLblPos val="nextTo"/>
        <c:crossAx val="2131965984"/>
        <c:crosses val="autoZero"/>
        <c:crossBetween val="midCat"/>
      </c:valAx>
      <c:spPr>
        <a:noFill/>
        <a:ln>
          <a:noFill/>
        </a:ln>
        <a:effectLst/>
      </c:spPr>
    </c:plotArea>
    <c:legend>
      <c:legendPos val="b"/>
      <c:legendEntry>
        <c:idx val="1"/>
        <c:delete val="1"/>
      </c:legendEntry>
      <c:legendEntry>
        <c:idx val="2"/>
        <c:delete val="1"/>
      </c:legendEntry>
      <c:layout>
        <c:manualLayout>
          <c:xMode val="edge"/>
          <c:yMode val="edge"/>
          <c:x val="0.27531006486883436"/>
          <c:y val="0.92377995433497639"/>
          <c:w val="0.44937987026233117"/>
          <c:h val="7.62200456650235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j-lt"/>
                <a:ea typeface="+mn-ea"/>
                <a:cs typeface="+mn-cs"/>
              </a:defRPr>
            </a:pPr>
            <a:r>
              <a:rPr lang="en-NZ" sz="1000"/>
              <a:t>Total Cumulative Cancer Registrations</a:t>
            </a:r>
          </a:p>
        </c:rich>
      </c:tx>
      <c:layout>
        <c:manualLayout>
          <c:xMode val="edge"/>
          <c:yMode val="edge"/>
          <c:x val="0.16184931874983205"/>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j-lt"/>
              <a:ea typeface="+mn-ea"/>
              <a:cs typeface="+mn-cs"/>
            </a:defRPr>
          </a:pPr>
          <a:endParaRPr lang="en-US"/>
        </a:p>
      </c:txPr>
    </c:title>
    <c:autoTitleDeleted val="0"/>
    <c:plotArea>
      <c:layout>
        <c:manualLayout>
          <c:layoutTarget val="inner"/>
          <c:xMode val="edge"/>
          <c:yMode val="edge"/>
          <c:x val="0.15637270341207349"/>
          <c:y val="0.16221631484098675"/>
          <c:w val="0.82359517347021038"/>
          <c:h val="0.73038450321914894"/>
        </c:manualLayout>
      </c:layout>
      <c:lineChart>
        <c:grouping val="standard"/>
        <c:varyColors val="0"/>
        <c:ser>
          <c:idx val="0"/>
          <c:order val="0"/>
          <c:tx>
            <c:strRef>
              <c:f>[ImpactCOVID19NZCR_TablesFigures_20200519_diagdate.xlsx]Total!$M$3</c:f>
              <c:strCache>
                <c:ptCount val="1"/>
                <c:pt idx="0">
                  <c:v>2018</c:v>
                </c:pt>
              </c:strCache>
            </c:strRef>
          </c:tx>
          <c:spPr>
            <a:ln w="25400" cap="rnd">
              <a:solidFill>
                <a:schemeClr val="accent1"/>
              </a:solidFill>
              <a:round/>
            </a:ln>
            <a:effectLst/>
          </c:spPr>
          <c:marker>
            <c:symbol val="none"/>
          </c:marker>
          <c:cat>
            <c:strRef>
              <c:f>[ImpactCOVID19NZCR_TablesFigures_20200519_diagdate.xlsx]Total!$L$3:$L$14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[ImpactCOVID19NZCR_TablesFigures_20200519_diagdate.xlsx]Total!$E$3:$E$8</c:f>
              <c:numCache>
                <c:formatCode>General</c:formatCode>
                <c:ptCount val="6"/>
                <c:pt idx="0">
                  <c:v>2015</c:v>
                </c:pt>
                <c:pt idx="1">
                  <c:v>4145</c:v>
                </c:pt>
                <c:pt idx="2">
                  <c:v>6482</c:v>
                </c:pt>
                <c:pt idx="3">
                  <c:v>8617</c:v>
                </c:pt>
                <c:pt idx="4">
                  <c:v>11090</c:v>
                </c:pt>
                <c:pt idx="5">
                  <c:v>13299</c:v>
                </c:pt>
              </c:numCache>
            </c:numRef>
          </c:val>
          <c:smooth val="1"/>
          <c:extLst>
            <c:ext xmlns:c16="http://schemas.microsoft.com/office/drawing/2014/chart" uri="{C3380CC4-5D6E-409C-BE32-E72D297353CC}">
              <c16:uniqueId val="{00000000-8160-4866-8623-36C13E170D10}"/>
            </c:ext>
          </c:extLst>
        </c:ser>
        <c:ser>
          <c:idx val="1"/>
          <c:order val="1"/>
          <c:tx>
            <c:strRef>
              <c:f>[ImpactCOVID19NZCR_TablesFigures_20200519_diagdate.xlsx]Total!$M$4</c:f>
              <c:strCache>
                <c:ptCount val="1"/>
                <c:pt idx="0">
                  <c:v>2019</c:v>
                </c:pt>
              </c:strCache>
            </c:strRef>
          </c:tx>
          <c:spPr>
            <a:ln w="19050" cap="rnd">
              <a:solidFill>
                <a:schemeClr val="accent2"/>
              </a:solidFill>
              <a:prstDash val="sysDash"/>
              <a:round/>
            </a:ln>
            <a:effectLst/>
          </c:spPr>
          <c:marker>
            <c:symbol val="none"/>
          </c:marker>
          <c:val>
            <c:numRef>
              <c:f>[ImpactCOVID19NZCR_TablesFigures_20200519_diagdate.xlsx]Total!$E$15:$E$20</c:f>
              <c:numCache>
                <c:formatCode>General</c:formatCode>
                <c:ptCount val="6"/>
                <c:pt idx="0">
                  <c:v>1984</c:v>
                </c:pt>
                <c:pt idx="1">
                  <c:v>4117</c:v>
                </c:pt>
                <c:pt idx="2">
                  <c:v>6509</c:v>
                </c:pt>
                <c:pt idx="3">
                  <c:v>8707</c:v>
                </c:pt>
                <c:pt idx="4">
                  <c:v>11210</c:v>
                </c:pt>
                <c:pt idx="5">
                  <c:v>13353</c:v>
                </c:pt>
              </c:numCache>
            </c:numRef>
          </c:val>
          <c:smooth val="1"/>
          <c:extLst>
            <c:ext xmlns:c16="http://schemas.microsoft.com/office/drawing/2014/chart" uri="{C3380CC4-5D6E-409C-BE32-E72D297353CC}">
              <c16:uniqueId val="{00000001-8160-4866-8623-36C13E170D10}"/>
            </c:ext>
          </c:extLst>
        </c:ser>
        <c:ser>
          <c:idx val="2"/>
          <c:order val="2"/>
          <c:tx>
            <c:strRef>
              <c:f>[ImpactCOVID19NZCR_TablesFigures_20200519_diagdate.xlsx]Total!$M$5</c:f>
              <c:strCache>
                <c:ptCount val="1"/>
                <c:pt idx="0">
                  <c:v>2020</c:v>
                </c:pt>
              </c:strCache>
            </c:strRef>
          </c:tx>
          <c:spPr>
            <a:ln w="19050" cap="rnd">
              <a:solidFill>
                <a:schemeClr val="accent3"/>
              </a:solidFill>
              <a:round/>
            </a:ln>
            <a:effectLst/>
          </c:spPr>
          <c:marker>
            <c:symbol val="none"/>
          </c:marker>
          <c:val>
            <c:numRef>
              <c:f>[ImpactCOVID19NZCR_TablesFigures_20200519_diagdate.xlsx]Total!$E$27:$E$30</c:f>
              <c:numCache>
                <c:formatCode>General</c:formatCode>
                <c:ptCount val="4"/>
                <c:pt idx="0">
                  <c:v>2271</c:v>
                </c:pt>
                <c:pt idx="1">
                  <c:v>4657</c:v>
                </c:pt>
                <c:pt idx="2">
                  <c:v>7040</c:v>
                </c:pt>
                <c:pt idx="3">
                  <c:v>8207</c:v>
                </c:pt>
              </c:numCache>
            </c:numRef>
          </c:val>
          <c:smooth val="1"/>
          <c:extLst>
            <c:ext xmlns:c16="http://schemas.microsoft.com/office/drawing/2014/chart" uri="{C3380CC4-5D6E-409C-BE32-E72D297353CC}">
              <c16:uniqueId val="{00000002-8160-4866-8623-36C13E170D10}"/>
            </c:ext>
          </c:extLst>
        </c:ser>
        <c:dLbls>
          <c:showLegendKey val="0"/>
          <c:showVal val="0"/>
          <c:showCatName val="0"/>
          <c:showSerName val="0"/>
          <c:showPercent val="0"/>
          <c:showBubbleSize val="0"/>
        </c:dLbls>
        <c:smooth val="0"/>
        <c:axId val="2092016272"/>
        <c:axId val="2092030416"/>
      </c:lineChart>
      <c:catAx>
        <c:axId val="209201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j-lt"/>
                <a:ea typeface="+mn-ea"/>
                <a:cs typeface="+mn-cs"/>
              </a:defRPr>
            </a:pPr>
            <a:endParaRPr lang="en-US"/>
          </a:p>
        </c:txPr>
        <c:crossAx val="2092030416"/>
        <c:crosses val="autoZero"/>
        <c:auto val="1"/>
        <c:lblAlgn val="ctr"/>
        <c:lblOffset val="100"/>
        <c:noMultiLvlLbl val="0"/>
      </c:catAx>
      <c:valAx>
        <c:axId val="2092030416"/>
        <c:scaling>
          <c:orientation val="minMax"/>
          <c:max val="14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j-lt"/>
                    <a:ea typeface="+mn-ea"/>
                    <a:cs typeface="+mn-cs"/>
                  </a:defRPr>
                </a:pPr>
                <a:r>
                  <a:rPr lang="en-NZ"/>
                  <a:t>Cumulative number</a:t>
                </a:r>
                <a:r>
                  <a:rPr lang="en-NZ" baseline="0"/>
                  <a:t> of c</a:t>
                </a:r>
                <a:r>
                  <a:rPr lang="en-NZ"/>
                  <a:t>ancer registrations</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j-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j-lt"/>
                <a:ea typeface="+mn-ea"/>
                <a:cs typeface="+mn-cs"/>
              </a:defRPr>
            </a:pPr>
            <a:endParaRPr lang="en-US"/>
          </a:p>
        </c:txPr>
        <c:crossAx val="2092016272"/>
        <c:crosses val="autoZero"/>
        <c:crossBetween val="between"/>
      </c:valAx>
      <c:spPr>
        <a:noFill/>
        <a:ln>
          <a:noFill/>
        </a:ln>
        <a:effectLst/>
      </c:spPr>
    </c:plotArea>
    <c:legend>
      <c:legendPos val="t"/>
      <c:layout>
        <c:manualLayout>
          <c:xMode val="edge"/>
          <c:yMode val="edge"/>
          <c:x val="0.21673933783021149"/>
          <c:y val="7.6660609731475871E-2"/>
          <c:w val="0.61771552766655025"/>
          <c:h val="8.1198874499329721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j-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mj-lt"/>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NZ" sz="1200"/>
              <a:t>Curative lung cancer surgeries - total population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531925626413818"/>
          <c:y val="0.26116376247192929"/>
          <c:w val="0.82063669969181785"/>
          <c:h val="0.64003183717558776"/>
        </c:manualLayout>
      </c:layout>
      <c:barChart>
        <c:barDir val="col"/>
        <c:grouping val="clustered"/>
        <c:varyColors val="0"/>
        <c:ser>
          <c:idx val="2"/>
          <c:order val="0"/>
          <c:tx>
            <c:v>2018</c:v>
          </c:tx>
          <c:spPr>
            <a:solidFill>
              <a:schemeClr val="accent3"/>
            </a:solidFill>
            <a:ln>
              <a:noFill/>
            </a:ln>
            <a:effectLst/>
          </c:spPr>
          <c:invertIfNegative val="0"/>
          <c:val>
            <c:numRef>
              <c:f>MTotalU!$C$2:$C$5</c:f>
              <c:numCache>
                <c:formatCode>General</c:formatCode>
                <c:ptCount val="4"/>
                <c:pt idx="0">
                  <c:v>44</c:v>
                </c:pt>
                <c:pt idx="1">
                  <c:v>52</c:v>
                </c:pt>
                <c:pt idx="2">
                  <c:v>58</c:v>
                </c:pt>
                <c:pt idx="3">
                  <c:v>47</c:v>
                </c:pt>
              </c:numCache>
            </c:numRef>
          </c:val>
          <c:extLst>
            <c:ext xmlns:c16="http://schemas.microsoft.com/office/drawing/2014/chart" uri="{C3380CC4-5D6E-409C-BE32-E72D297353CC}">
              <c16:uniqueId val="{00000000-C635-438F-A513-587C1576C306}"/>
            </c:ext>
          </c:extLst>
        </c:ser>
        <c:ser>
          <c:idx val="0"/>
          <c:order val="1"/>
          <c:tx>
            <c:v>2019</c:v>
          </c:tx>
          <c:spPr>
            <a:solidFill>
              <a:schemeClr val="accent1"/>
            </a:solidFill>
            <a:ln>
              <a:noFill/>
            </a:ln>
            <a:effectLst/>
          </c:spPr>
          <c:invertIfNegative val="0"/>
          <c:cat>
            <c:strRef>
              <c:f>MTotalU!$A$2:$A$5</c:f>
              <c:strCache>
                <c:ptCount val="4"/>
                <c:pt idx="0">
                  <c:v>Jan</c:v>
                </c:pt>
                <c:pt idx="1">
                  <c:v>Feb</c:v>
                </c:pt>
                <c:pt idx="2">
                  <c:v>Mar</c:v>
                </c:pt>
                <c:pt idx="3">
                  <c:v>Apr</c:v>
                </c:pt>
              </c:strCache>
            </c:strRef>
          </c:cat>
          <c:val>
            <c:numRef>
              <c:f>MTotalU!$G$2:$G$5</c:f>
              <c:numCache>
                <c:formatCode>General</c:formatCode>
                <c:ptCount val="4"/>
                <c:pt idx="0">
                  <c:v>50</c:v>
                </c:pt>
                <c:pt idx="1">
                  <c:v>54</c:v>
                </c:pt>
                <c:pt idx="2">
                  <c:v>74</c:v>
                </c:pt>
                <c:pt idx="3">
                  <c:v>62</c:v>
                </c:pt>
              </c:numCache>
            </c:numRef>
          </c:val>
          <c:extLst>
            <c:ext xmlns:c16="http://schemas.microsoft.com/office/drawing/2014/chart" uri="{C3380CC4-5D6E-409C-BE32-E72D297353CC}">
              <c16:uniqueId val="{00000001-C635-438F-A513-587C1576C306}"/>
            </c:ext>
          </c:extLst>
        </c:ser>
        <c:ser>
          <c:idx val="1"/>
          <c:order val="2"/>
          <c:tx>
            <c:v>2020</c:v>
          </c:tx>
          <c:spPr>
            <a:solidFill>
              <a:schemeClr val="accent2"/>
            </a:solidFill>
            <a:ln>
              <a:noFill/>
            </a:ln>
            <a:effectLst/>
          </c:spPr>
          <c:invertIfNegative val="0"/>
          <c:val>
            <c:numRef>
              <c:f>MTotalU!$K$2:$K$5</c:f>
              <c:numCache>
                <c:formatCode>General</c:formatCode>
                <c:ptCount val="4"/>
                <c:pt idx="0">
                  <c:v>47</c:v>
                </c:pt>
                <c:pt idx="1">
                  <c:v>43</c:v>
                </c:pt>
                <c:pt idx="2">
                  <c:v>56</c:v>
                </c:pt>
                <c:pt idx="3">
                  <c:v>53</c:v>
                </c:pt>
              </c:numCache>
            </c:numRef>
          </c:val>
          <c:extLst>
            <c:ext xmlns:c16="http://schemas.microsoft.com/office/drawing/2014/chart" uri="{C3380CC4-5D6E-409C-BE32-E72D297353CC}">
              <c16:uniqueId val="{00000002-C635-438F-A513-587C1576C306}"/>
            </c:ext>
          </c:extLst>
        </c:ser>
        <c:dLbls>
          <c:showLegendKey val="0"/>
          <c:showVal val="0"/>
          <c:showCatName val="0"/>
          <c:showSerName val="0"/>
          <c:showPercent val="0"/>
          <c:showBubbleSize val="0"/>
        </c:dLbls>
        <c:gapWidth val="219"/>
        <c:overlap val="-27"/>
        <c:axId val="418308272"/>
        <c:axId val="418310240"/>
      </c:barChart>
      <c:catAx>
        <c:axId val="41830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8310240"/>
        <c:crosses val="autoZero"/>
        <c:auto val="1"/>
        <c:lblAlgn val="ctr"/>
        <c:lblOffset val="100"/>
        <c:noMultiLvlLbl val="0"/>
      </c:catAx>
      <c:valAx>
        <c:axId val="418310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a:t>Number of surgeries</a:t>
                </a:r>
              </a:p>
            </c:rich>
          </c:tx>
          <c:layout>
            <c:manualLayout>
              <c:xMode val="edge"/>
              <c:yMode val="edge"/>
              <c:x val="1.6016151827175449E-2"/>
              <c:y val="0.4051053514144065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8308272"/>
        <c:crosses val="autoZero"/>
        <c:crossBetween val="between"/>
      </c:valAx>
      <c:spPr>
        <a:noFill/>
        <a:ln>
          <a:noFill/>
        </a:ln>
        <a:effectLst/>
      </c:spPr>
    </c:plotArea>
    <c:legend>
      <c:legendPos val="t"/>
      <c:layout>
        <c:manualLayout>
          <c:xMode val="edge"/>
          <c:yMode val="edge"/>
          <c:x val="0.31532049263072881"/>
          <c:y val="0.17472924187725633"/>
          <c:w val="0.36935869170199881"/>
          <c:h val="7.541430967338469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NZ" sz="1200"/>
              <a:t>Curative lung cancer surgeries - Māori*</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0"/>
          <c:tx>
            <c:v>2018</c:v>
          </c:tx>
          <c:spPr>
            <a:solidFill>
              <a:schemeClr val="accent3"/>
            </a:solidFill>
            <a:ln>
              <a:noFill/>
            </a:ln>
            <a:effectLst/>
          </c:spPr>
          <c:invertIfNegative val="0"/>
          <c:val>
            <c:numRef>
              <c:f>MMāoriU!$C$2:$C$5</c:f>
              <c:numCache>
                <c:formatCode>General</c:formatCode>
                <c:ptCount val="4"/>
                <c:pt idx="0">
                  <c:v>9</c:v>
                </c:pt>
                <c:pt idx="1">
                  <c:v>11</c:v>
                </c:pt>
                <c:pt idx="2">
                  <c:v>6</c:v>
                </c:pt>
                <c:pt idx="3">
                  <c:v>9</c:v>
                </c:pt>
              </c:numCache>
            </c:numRef>
          </c:val>
          <c:extLst>
            <c:ext xmlns:c16="http://schemas.microsoft.com/office/drawing/2014/chart" uri="{C3380CC4-5D6E-409C-BE32-E72D297353CC}">
              <c16:uniqueId val="{00000000-8EEC-42C2-AA01-96E1F7B8DF4D}"/>
            </c:ext>
          </c:extLst>
        </c:ser>
        <c:ser>
          <c:idx val="0"/>
          <c:order val="1"/>
          <c:tx>
            <c:v>2019</c:v>
          </c:tx>
          <c:spPr>
            <a:solidFill>
              <a:schemeClr val="accent1"/>
            </a:solidFill>
            <a:ln>
              <a:noFill/>
            </a:ln>
            <a:effectLst/>
          </c:spPr>
          <c:invertIfNegative val="0"/>
          <c:cat>
            <c:strRef>
              <c:f>MMāoriU!$A$2:$A$5</c:f>
              <c:strCache>
                <c:ptCount val="4"/>
                <c:pt idx="0">
                  <c:v>Jan</c:v>
                </c:pt>
                <c:pt idx="1">
                  <c:v>Feb</c:v>
                </c:pt>
                <c:pt idx="2">
                  <c:v>Mar</c:v>
                </c:pt>
                <c:pt idx="3">
                  <c:v>Apr</c:v>
                </c:pt>
              </c:strCache>
            </c:strRef>
          </c:cat>
          <c:val>
            <c:numRef>
              <c:f>MMāoriU!$G$2:$G$5</c:f>
              <c:numCache>
                <c:formatCode>General</c:formatCode>
                <c:ptCount val="4"/>
                <c:pt idx="0">
                  <c:v>7</c:v>
                </c:pt>
                <c:pt idx="1">
                  <c:v>8</c:v>
                </c:pt>
                <c:pt idx="2">
                  <c:v>16</c:v>
                </c:pt>
                <c:pt idx="3">
                  <c:v>13</c:v>
                </c:pt>
              </c:numCache>
            </c:numRef>
          </c:val>
          <c:extLst>
            <c:ext xmlns:c16="http://schemas.microsoft.com/office/drawing/2014/chart" uri="{C3380CC4-5D6E-409C-BE32-E72D297353CC}">
              <c16:uniqueId val="{00000001-8EEC-42C2-AA01-96E1F7B8DF4D}"/>
            </c:ext>
          </c:extLst>
        </c:ser>
        <c:ser>
          <c:idx val="1"/>
          <c:order val="2"/>
          <c:tx>
            <c:v>2020</c:v>
          </c:tx>
          <c:spPr>
            <a:solidFill>
              <a:schemeClr val="accent2"/>
            </a:solidFill>
            <a:ln>
              <a:noFill/>
            </a:ln>
            <a:effectLst/>
          </c:spPr>
          <c:invertIfNegative val="0"/>
          <c:val>
            <c:numRef>
              <c:f>MMāoriU!$K$2:$K$5</c:f>
              <c:numCache>
                <c:formatCode>General</c:formatCode>
                <c:ptCount val="4"/>
                <c:pt idx="0">
                  <c:v>4</c:v>
                </c:pt>
                <c:pt idx="1">
                  <c:v>7</c:v>
                </c:pt>
                <c:pt idx="2">
                  <c:v>7</c:v>
                </c:pt>
                <c:pt idx="3">
                  <c:v>10</c:v>
                </c:pt>
              </c:numCache>
            </c:numRef>
          </c:val>
          <c:extLst>
            <c:ext xmlns:c16="http://schemas.microsoft.com/office/drawing/2014/chart" uri="{C3380CC4-5D6E-409C-BE32-E72D297353CC}">
              <c16:uniqueId val="{00000002-8EEC-42C2-AA01-96E1F7B8DF4D}"/>
            </c:ext>
          </c:extLst>
        </c:ser>
        <c:dLbls>
          <c:showLegendKey val="0"/>
          <c:showVal val="0"/>
          <c:showCatName val="0"/>
          <c:showSerName val="0"/>
          <c:showPercent val="0"/>
          <c:showBubbleSize val="0"/>
        </c:dLbls>
        <c:gapWidth val="219"/>
        <c:overlap val="-27"/>
        <c:axId val="418308272"/>
        <c:axId val="418310240"/>
      </c:barChart>
      <c:catAx>
        <c:axId val="41830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8310240"/>
        <c:crosses val="autoZero"/>
        <c:auto val="1"/>
        <c:lblAlgn val="ctr"/>
        <c:lblOffset val="100"/>
        <c:noMultiLvlLbl val="0"/>
      </c:catAx>
      <c:valAx>
        <c:axId val="418310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Number of surgeries</a:t>
                </a:r>
              </a:p>
            </c:rich>
          </c:tx>
          <c:layout>
            <c:manualLayout>
              <c:xMode val="edge"/>
              <c:yMode val="edge"/>
              <c:x val="3.2935364347468091E-2"/>
              <c:y val="0.3711934966462526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8308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NZ" sz="1100"/>
              <a:t>Cumulative curative lung cancer surgeries - total population</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v>2018</c:v>
          </c:tx>
          <c:spPr>
            <a:ln w="19050" cap="rnd">
              <a:solidFill>
                <a:schemeClr val="accent3"/>
              </a:solidFill>
              <a:round/>
            </a:ln>
            <a:effectLst/>
          </c:spPr>
          <c:marker>
            <c:symbol val="none"/>
          </c:marker>
          <c:yVal>
            <c:numRef>
              <c:f>'WTotal 21 May'!$Q$3:$Q$28</c:f>
              <c:numCache>
                <c:formatCode>General</c:formatCode>
                <c:ptCount val="26"/>
                <c:pt idx="0">
                  <c:v>5</c:v>
                </c:pt>
                <c:pt idx="1">
                  <c:v>16</c:v>
                </c:pt>
                <c:pt idx="2">
                  <c:v>26</c:v>
                </c:pt>
                <c:pt idx="3">
                  <c:v>36</c:v>
                </c:pt>
                <c:pt idx="4">
                  <c:v>53</c:v>
                </c:pt>
                <c:pt idx="5">
                  <c:v>60</c:v>
                </c:pt>
                <c:pt idx="6">
                  <c:v>73</c:v>
                </c:pt>
                <c:pt idx="7">
                  <c:v>83</c:v>
                </c:pt>
                <c:pt idx="8">
                  <c:v>102</c:v>
                </c:pt>
                <c:pt idx="9">
                  <c:v>116</c:v>
                </c:pt>
                <c:pt idx="10">
                  <c:v>128</c:v>
                </c:pt>
                <c:pt idx="11">
                  <c:v>142</c:v>
                </c:pt>
                <c:pt idx="12">
                  <c:v>156</c:v>
                </c:pt>
                <c:pt idx="13">
                  <c:v>165</c:v>
                </c:pt>
                <c:pt idx="14">
                  <c:v>177</c:v>
                </c:pt>
                <c:pt idx="15">
                  <c:v>189</c:v>
                </c:pt>
                <c:pt idx="16">
                  <c:v>199</c:v>
                </c:pt>
                <c:pt idx="17">
                  <c:v>210</c:v>
                </c:pt>
                <c:pt idx="18">
                  <c:v>220</c:v>
                </c:pt>
                <c:pt idx="19">
                  <c:v>230</c:v>
                </c:pt>
                <c:pt idx="20">
                  <c:v>246</c:v>
                </c:pt>
                <c:pt idx="21">
                  <c:v>259</c:v>
                </c:pt>
                <c:pt idx="22">
                  <c:v>272</c:v>
                </c:pt>
                <c:pt idx="23">
                  <c:v>279</c:v>
                </c:pt>
                <c:pt idx="24">
                  <c:v>287</c:v>
                </c:pt>
                <c:pt idx="25">
                  <c:v>303</c:v>
                </c:pt>
              </c:numCache>
            </c:numRef>
          </c:yVal>
          <c:smooth val="0"/>
          <c:extLst>
            <c:ext xmlns:c16="http://schemas.microsoft.com/office/drawing/2014/chart" uri="{C3380CC4-5D6E-409C-BE32-E72D297353CC}">
              <c16:uniqueId val="{00000000-9622-4367-9B23-181D0BDF3BC0}"/>
            </c:ext>
          </c:extLst>
        </c:ser>
        <c:ser>
          <c:idx val="1"/>
          <c:order val="1"/>
          <c:tx>
            <c:v>2019</c:v>
          </c:tx>
          <c:spPr>
            <a:ln w="19050" cap="rnd">
              <a:solidFill>
                <a:schemeClr val="accent1"/>
              </a:solidFill>
              <a:round/>
            </a:ln>
            <a:effectLst/>
          </c:spPr>
          <c:marker>
            <c:symbol val="none"/>
          </c:marker>
          <c:yVal>
            <c:numRef>
              <c:f>'WTotal 21 May'!$U$3:$U$28</c:f>
              <c:numCache>
                <c:formatCode>General</c:formatCode>
                <c:ptCount val="26"/>
                <c:pt idx="0">
                  <c:v>3</c:v>
                </c:pt>
                <c:pt idx="1">
                  <c:v>17</c:v>
                </c:pt>
                <c:pt idx="2">
                  <c:v>28</c:v>
                </c:pt>
                <c:pt idx="3">
                  <c:v>41</c:v>
                </c:pt>
                <c:pt idx="4">
                  <c:v>56</c:v>
                </c:pt>
                <c:pt idx="5">
                  <c:v>64</c:v>
                </c:pt>
                <c:pt idx="6">
                  <c:v>81</c:v>
                </c:pt>
                <c:pt idx="7">
                  <c:v>95</c:v>
                </c:pt>
                <c:pt idx="8">
                  <c:v>114</c:v>
                </c:pt>
                <c:pt idx="9">
                  <c:v>133</c:v>
                </c:pt>
                <c:pt idx="10">
                  <c:v>146</c:v>
                </c:pt>
                <c:pt idx="11">
                  <c:v>164</c:v>
                </c:pt>
                <c:pt idx="12">
                  <c:v>179</c:v>
                </c:pt>
                <c:pt idx="13">
                  <c:v>199</c:v>
                </c:pt>
                <c:pt idx="14">
                  <c:v>216</c:v>
                </c:pt>
                <c:pt idx="15">
                  <c:v>231</c:v>
                </c:pt>
                <c:pt idx="16">
                  <c:v>238</c:v>
                </c:pt>
                <c:pt idx="17">
                  <c:v>251</c:v>
                </c:pt>
                <c:pt idx="18">
                  <c:v>260</c:v>
                </c:pt>
                <c:pt idx="19">
                  <c:v>271</c:v>
                </c:pt>
                <c:pt idx="20">
                  <c:v>289</c:v>
                </c:pt>
                <c:pt idx="21">
                  <c:v>301</c:v>
                </c:pt>
                <c:pt idx="22">
                  <c:v>318</c:v>
                </c:pt>
                <c:pt idx="23">
                  <c:v>329</c:v>
                </c:pt>
                <c:pt idx="24">
                  <c:v>342</c:v>
                </c:pt>
                <c:pt idx="25">
                  <c:v>352</c:v>
                </c:pt>
              </c:numCache>
            </c:numRef>
          </c:yVal>
          <c:smooth val="0"/>
          <c:extLst>
            <c:ext xmlns:c16="http://schemas.microsoft.com/office/drawing/2014/chart" uri="{C3380CC4-5D6E-409C-BE32-E72D297353CC}">
              <c16:uniqueId val="{00000001-9622-4367-9B23-181D0BDF3BC0}"/>
            </c:ext>
          </c:extLst>
        </c:ser>
        <c:ser>
          <c:idx val="0"/>
          <c:order val="2"/>
          <c:tx>
            <c:v>2020</c:v>
          </c:tx>
          <c:spPr>
            <a:ln w="19050" cap="rnd">
              <a:solidFill>
                <a:schemeClr val="accent2"/>
              </a:solidFill>
              <a:round/>
            </a:ln>
            <a:effectLst/>
          </c:spPr>
          <c:marker>
            <c:symbol val="none"/>
          </c:marker>
          <c:yVal>
            <c:numRef>
              <c:f>'WTotal 21 May'!$Y$3:$Y$19</c:f>
              <c:numCache>
                <c:formatCode>General</c:formatCode>
                <c:ptCount val="17"/>
                <c:pt idx="0">
                  <c:v>7</c:v>
                </c:pt>
                <c:pt idx="1">
                  <c:v>14</c:v>
                </c:pt>
                <c:pt idx="2">
                  <c:v>27</c:v>
                </c:pt>
                <c:pt idx="3">
                  <c:v>45</c:v>
                </c:pt>
                <c:pt idx="4">
                  <c:v>52</c:v>
                </c:pt>
                <c:pt idx="5">
                  <c:v>59</c:v>
                </c:pt>
                <c:pt idx="6">
                  <c:v>72</c:v>
                </c:pt>
                <c:pt idx="7">
                  <c:v>82</c:v>
                </c:pt>
                <c:pt idx="8">
                  <c:v>94</c:v>
                </c:pt>
                <c:pt idx="9">
                  <c:v>104</c:v>
                </c:pt>
                <c:pt idx="10">
                  <c:v>119</c:v>
                </c:pt>
                <c:pt idx="11">
                  <c:v>134</c:v>
                </c:pt>
                <c:pt idx="12">
                  <c:v>146</c:v>
                </c:pt>
                <c:pt idx="13">
                  <c:v>152</c:v>
                </c:pt>
                <c:pt idx="14">
                  <c:v>171</c:v>
                </c:pt>
                <c:pt idx="15">
                  <c:v>182</c:v>
                </c:pt>
                <c:pt idx="16">
                  <c:v>193</c:v>
                </c:pt>
              </c:numCache>
            </c:numRef>
          </c:yVal>
          <c:smooth val="0"/>
          <c:extLst>
            <c:ext xmlns:c16="http://schemas.microsoft.com/office/drawing/2014/chart" uri="{C3380CC4-5D6E-409C-BE32-E72D297353CC}">
              <c16:uniqueId val="{00000002-9622-4367-9B23-181D0BDF3BC0}"/>
            </c:ext>
          </c:extLst>
        </c:ser>
        <c:ser>
          <c:idx val="3"/>
          <c:order val="3"/>
          <c:tx>
            <c:v>Level 4</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9622-4367-9B23-181D0BDF3BC0}"/>
                </c:ext>
              </c:extLst>
            </c:dLbl>
            <c:dLbl>
              <c:idx val="1"/>
              <c:dLblPos val="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9622-4367-9B23-181D0BDF3BC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'WTotal 21 May'!$AC$3:$AC$4</c:f>
              <c:numCache>
                <c:formatCode>General</c:formatCode>
                <c:ptCount val="2"/>
                <c:pt idx="0">
                  <c:v>12</c:v>
                </c:pt>
                <c:pt idx="1">
                  <c:v>12</c:v>
                </c:pt>
              </c:numCache>
            </c:numRef>
          </c:xVal>
          <c:yVal>
            <c:numRef>
              <c:f>'WTotal 21 May'!$AE$3:$AE$4</c:f>
              <c:numCache>
                <c:formatCode>General</c:formatCode>
                <c:ptCount val="2"/>
                <c:pt idx="0">
                  <c:v>0</c:v>
                </c:pt>
                <c:pt idx="1">
                  <c:v>303</c:v>
                </c:pt>
              </c:numCache>
            </c:numRef>
          </c:yVal>
          <c:smooth val="0"/>
          <c:extLst>
            <c:ext xmlns:c16="http://schemas.microsoft.com/office/drawing/2014/chart" uri="{C3380CC4-5D6E-409C-BE32-E72D297353CC}">
              <c16:uniqueId val="{00000005-9622-4367-9B23-181D0BDF3BC0}"/>
            </c:ext>
          </c:extLst>
        </c:ser>
        <c:ser>
          <c:idx val="4"/>
          <c:order val="4"/>
          <c:tx>
            <c:v>Level 3</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6-9622-4367-9B23-181D0BDF3BC0}"/>
                </c:ext>
              </c:extLst>
            </c:dLbl>
            <c:dLbl>
              <c:idx val="1"/>
              <c:dLblPos val="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9622-4367-9B23-181D0BDF3BC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'WTotal 21 May'!$AC$6:$AC$7</c:f>
              <c:numCache>
                <c:formatCode>General</c:formatCode>
                <c:ptCount val="2"/>
                <c:pt idx="0">
                  <c:v>17</c:v>
                </c:pt>
                <c:pt idx="1">
                  <c:v>17</c:v>
                </c:pt>
              </c:numCache>
            </c:numRef>
          </c:xVal>
          <c:yVal>
            <c:numRef>
              <c:f>'WTotal 21 May'!$AE$6:$AE$7</c:f>
              <c:numCache>
                <c:formatCode>General</c:formatCode>
                <c:ptCount val="2"/>
                <c:pt idx="0">
                  <c:v>0</c:v>
                </c:pt>
                <c:pt idx="1">
                  <c:v>272.7</c:v>
                </c:pt>
              </c:numCache>
            </c:numRef>
          </c:yVal>
          <c:smooth val="0"/>
          <c:extLst>
            <c:ext xmlns:c16="http://schemas.microsoft.com/office/drawing/2014/chart" uri="{C3380CC4-5D6E-409C-BE32-E72D297353CC}">
              <c16:uniqueId val="{00000008-9622-4367-9B23-181D0BDF3BC0}"/>
            </c:ext>
          </c:extLst>
        </c:ser>
        <c:dLbls>
          <c:showLegendKey val="0"/>
          <c:showVal val="0"/>
          <c:showCatName val="0"/>
          <c:showSerName val="0"/>
          <c:showPercent val="0"/>
          <c:showBubbleSize val="0"/>
        </c:dLbls>
        <c:axId val="421656160"/>
        <c:axId val="421658456"/>
      </c:scatterChart>
      <c:valAx>
        <c:axId val="421656160"/>
        <c:scaling>
          <c:orientation val="minMax"/>
          <c:max val="27"/>
          <c:min val="1"/>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a:t>Week</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21658456"/>
        <c:crosses val="autoZero"/>
        <c:crossBetween val="midCat"/>
        <c:majorUnit val="2"/>
      </c:valAx>
      <c:valAx>
        <c:axId val="421658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a:t>Cumulative number of </a:t>
                </a:r>
                <a:r>
                  <a:rPr lang="en-NZ" sz="900" b="0" i="0" u="none" strike="noStrike" kern="1200" baseline="0">
                    <a:solidFill>
                      <a:sysClr val="windowText" lastClr="000000">
                        <a:lumMod val="65000"/>
                        <a:lumOff val="35000"/>
                      </a:sysClr>
                    </a:solidFill>
                    <a:latin typeface="+mn-lt"/>
                    <a:ea typeface="+mn-ea"/>
                    <a:cs typeface="+mn-cs"/>
                  </a:rPr>
                  <a:t>surgeries</a:t>
                </a:r>
                <a:endParaRPr lang="en-NZ" sz="900"/>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21656160"/>
        <c:crosses val="autoZero"/>
        <c:crossBetween val="midCat"/>
      </c:valAx>
      <c:spPr>
        <a:noFill/>
        <a:ln>
          <a:noFill/>
        </a:ln>
        <a:effectLst/>
      </c:spPr>
    </c:plotArea>
    <c:legend>
      <c:legendPos val="t"/>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NZ" sz="1050"/>
              <a:t>Cumulative curative lung cancer surgeries - Māori</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v>2018</c:v>
          </c:tx>
          <c:spPr>
            <a:ln w="19050" cap="rnd">
              <a:solidFill>
                <a:schemeClr val="accent3"/>
              </a:solidFill>
              <a:round/>
            </a:ln>
            <a:effectLst/>
          </c:spPr>
          <c:marker>
            <c:symbol val="none"/>
          </c:marker>
          <c:yVal>
            <c:numRef>
              <c:f>'W Māori 21 May'!$Q$3:$Q$28</c:f>
              <c:numCache>
                <c:formatCode>General</c:formatCode>
                <c:ptCount val="26"/>
                <c:pt idx="0">
                  <c:v>3</c:v>
                </c:pt>
                <c:pt idx="1">
                  <c:v>6</c:v>
                </c:pt>
                <c:pt idx="2">
                  <c:v>6</c:v>
                </c:pt>
                <c:pt idx="3">
                  <c:v>9</c:v>
                </c:pt>
                <c:pt idx="4">
                  <c:v>11</c:v>
                </c:pt>
                <c:pt idx="5">
                  <c:v>13</c:v>
                </c:pt>
                <c:pt idx="6">
                  <c:v>13</c:v>
                </c:pt>
                <c:pt idx="7">
                  <c:v>14</c:v>
                </c:pt>
                <c:pt idx="8">
                  <c:v>21</c:v>
                </c:pt>
                <c:pt idx="9">
                  <c:v>22</c:v>
                </c:pt>
                <c:pt idx="10">
                  <c:v>23</c:v>
                </c:pt>
                <c:pt idx="11">
                  <c:v>25</c:v>
                </c:pt>
                <c:pt idx="12">
                  <c:v>26</c:v>
                </c:pt>
                <c:pt idx="13">
                  <c:v>30</c:v>
                </c:pt>
                <c:pt idx="14">
                  <c:v>32</c:v>
                </c:pt>
                <c:pt idx="15">
                  <c:v>33</c:v>
                </c:pt>
                <c:pt idx="16">
                  <c:v>35</c:v>
                </c:pt>
                <c:pt idx="17">
                  <c:v>37</c:v>
                </c:pt>
                <c:pt idx="18">
                  <c:v>39</c:v>
                </c:pt>
                <c:pt idx="19">
                  <c:v>41</c:v>
                </c:pt>
                <c:pt idx="20">
                  <c:v>44</c:v>
                </c:pt>
                <c:pt idx="21">
                  <c:v>45</c:v>
                </c:pt>
                <c:pt idx="22">
                  <c:v>49</c:v>
                </c:pt>
                <c:pt idx="23">
                  <c:v>52</c:v>
                </c:pt>
                <c:pt idx="24">
                  <c:v>56</c:v>
                </c:pt>
                <c:pt idx="25">
                  <c:v>58</c:v>
                </c:pt>
              </c:numCache>
            </c:numRef>
          </c:yVal>
          <c:smooth val="0"/>
          <c:extLst>
            <c:ext xmlns:c16="http://schemas.microsoft.com/office/drawing/2014/chart" uri="{C3380CC4-5D6E-409C-BE32-E72D297353CC}">
              <c16:uniqueId val="{00000000-3922-49E7-8F8C-7EEC0914C300}"/>
            </c:ext>
          </c:extLst>
        </c:ser>
        <c:ser>
          <c:idx val="1"/>
          <c:order val="1"/>
          <c:tx>
            <c:v>2019</c:v>
          </c:tx>
          <c:spPr>
            <a:ln w="19050" cap="rnd">
              <a:solidFill>
                <a:schemeClr val="accent1"/>
              </a:solidFill>
              <a:round/>
            </a:ln>
            <a:effectLst/>
          </c:spPr>
          <c:marker>
            <c:symbol val="none"/>
          </c:marker>
          <c:yVal>
            <c:numRef>
              <c:f>'W Māori 21 May'!$U$3:$U$28</c:f>
              <c:numCache>
                <c:formatCode>General</c:formatCode>
                <c:ptCount val="26"/>
                <c:pt idx="0">
                  <c:v>0</c:v>
                </c:pt>
                <c:pt idx="1">
                  <c:v>1</c:v>
                </c:pt>
                <c:pt idx="2">
                  <c:v>3</c:v>
                </c:pt>
                <c:pt idx="3">
                  <c:v>5</c:v>
                </c:pt>
                <c:pt idx="4">
                  <c:v>8</c:v>
                </c:pt>
                <c:pt idx="5">
                  <c:v>8</c:v>
                </c:pt>
                <c:pt idx="6">
                  <c:v>9</c:v>
                </c:pt>
                <c:pt idx="7">
                  <c:v>13</c:v>
                </c:pt>
                <c:pt idx="8">
                  <c:v>15</c:v>
                </c:pt>
                <c:pt idx="9">
                  <c:v>17</c:v>
                </c:pt>
                <c:pt idx="10">
                  <c:v>24</c:v>
                </c:pt>
                <c:pt idx="11">
                  <c:v>30</c:v>
                </c:pt>
                <c:pt idx="12">
                  <c:v>31</c:v>
                </c:pt>
                <c:pt idx="13">
                  <c:v>35</c:v>
                </c:pt>
                <c:pt idx="14">
                  <c:v>38</c:v>
                </c:pt>
                <c:pt idx="15">
                  <c:v>42</c:v>
                </c:pt>
                <c:pt idx="16">
                  <c:v>44</c:v>
                </c:pt>
                <c:pt idx="17">
                  <c:v>45</c:v>
                </c:pt>
                <c:pt idx="18">
                  <c:v>47</c:v>
                </c:pt>
                <c:pt idx="19">
                  <c:v>49</c:v>
                </c:pt>
                <c:pt idx="20">
                  <c:v>55</c:v>
                </c:pt>
                <c:pt idx="21">
                  <c:v>61</c:v>
                </c:pt>
                <c:pt idx="22">
                  <c:v>63</c:v>
                </c:pt>
                <c:pt idx="23">
                  <c:v>64</c:v>
                </c:pt>
                <c:pt idx="24">
                  <c:v>65</c:v>
                </c:pt>
                <c:pt idx="25">
                  <c:v>66</c:v>
                </c:pt>
              </c:numCache>
            </c:numRef>
          </c:yVal>
          <c:smooth val="0"/>
          <c:extLst>
            <c:ext xmlns:c16="http://schemas.microsoft.com/office/drawing/2014/chart" uri="{C3380CC4-5D6E-409C-BE32-E72D297353CC}">
              <c16:uniqueId val="{00000001-3922-49E7-8F8C-7EEC0914C300}"/>
            </c:ext>
          </c:extLst>
        </c:ser>
        <c:ser>
          <c:idx val="0"/>
          <c:order val="2"/>
          <c:tx>
            <c:v>2020</c:v>
          </c:tx>
          <c:spPr>
            <a:ln w="19050" cap="rnd">
              <a:solidFill>
                <a:schemeClr val="accent2"/>
              </a:solidFill>
              <a:round/>
            </a:ln>
            <a:effectLst/>
          </c:spPr>
          <c:marker>
            <c:symbol val="none"/>
          </c:marker>
          <c:yVal>
            <c:numRef>
              <c:f>'W Māori 21 May'!$Y$3:$Y$19</c:f>
              <c:numCache>
                <c:formatCode>General</c:formatCode>
                <c:ptCount val="17"/>
                <c:pt idx="0">
                  <c:v>1</c:v>
                </c:pt>
                <c:pt idx="1">
                  <c:v>1</c:v>
                </c:pt>
                <c:pt idx="2">
                  <c:v>3</c:v>
                </c:pt>
                <c:pt idx="3">
                  <c:v>4</c:v>
                </c:pt>
                <c:pt idx="4">
                  <c:v>5</c:v>
                </c:pt>
                <c:pt idx="5">
                  <c:v>6</c:v>
                </c:pt>
                <c:pt idx="6">
                  <c:v>9</c:v>
                </c:pt>
                <c:pt idx="7">
                  <c:v>9</c:v>
                </c:pt>
                <c:pt idx="8">
                  <c:v>11</c:v>
                </c:pt>
                <c:pt idx="9">
                  <c:v>14</c:v>
                </c:pt>
                <c:pt idx="10">
                  <c:v>14</c:v>
                </c:pt>
                <c:pt idx="11">
                  <c:v>17</c:v>
                </c:pt>
                <c:pt idx="12">
                  <c:v>18</c:v>
                </c:pt>
                <c:pt idx="13">
                  <c:v>20</c:v>
                </c:pt>
                <c:pt idx="14">
                  <c:v>22</c:v>
                </c:pt>
                <c:pt idx="15">
                  <c:v>22</c:v>
                </c:pt>
                <c:pt idx="16">
                  <c:v>24</c:v>
                </c:pt>
              </c:numCache>
            </c:numRef>
          </c:yVal>
          <c:smooth val="0"/>
          <c:extLst>
            <c:ext xmlns:c16="http://schemas.microsoft.com/office/drawing/2014/chart" uri="{C3380CC4-5D6E-409C-BE32-E72D297353CC}">
              <c16:uniqueId val="{00000002-3922-49E7-8F8C-7EEC0914C300}"/>
            </c:ext>
          </c:extLst>
        </c:ser>
        <c:ser>
          <c:idx val="3"/>
          <c:order val="3"/>
          <c:tx>
            <c:v>Level 4</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3922-49E7-8F8C-7EEC0914C300}"/>
                </c:ext>
              </c:extLst>
            </c:dLbl>
            <c:dLbl>
              <c:idx val="1"/>
              <c:dLblPos val="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3922-49E7-8F8C-7EEC0914C30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'W Māori 21 May'!$AC$3:$AC$4</c:f>
              <c:numCache>
                <c:formatCode>General</c:formatCode>
                <c:ptCount val="2"/>
                <c:pt idx="0">
                  <c:v>12</c:v>
                </c:pt>
                <c:pt idx="1">
                  <c:v>12</c:v>
                </c:pt>
              </c:numCache>
            </c:numRef>
          </c:xVal>
          <c:yVal>
            <c:numRef>
              <c:f>'W Māori 21 May'!$AE$3:$AE$4</c:f>
              <c:numCache>
                <c:formatCode>General</c:formatCode>
                <c:ptCount val="2"/>
                <c:pt idx="0">
                  <c:v>0</c:v>
                </c:pt>
                <c:pt idx="1">
                  <c:v>58</c:v>
                </c:pt>
              </c:numCache>
            </c:numRef>
          </c:yVal>
          <c:smooth val="0"/>
          <c:extLst>
            <c:ext xmlns:c16="http://schemas.microsoft.com/office/drawing/2014/chart" uri="{C3380CC4-5D6E-409C-BE32-E72D297353CC}">
              <c16:uniqueId val="{00000005-3922-49E7-8F8C-7EEC0914C300}"/>
            </c:ext>
          </c:extLst>
        </c:ser>
        <c:ser>
          <c:idx val="4"/>
          <c:order val="4"/>
          <c:tx>
            <c:v>Level 3</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6-3922-49E7-8F8C-7EEC0914C300}"/>
                </c:ext>
              </c:extLst>
            </c:dLbl>
            <c:dLbl>
              <c:idx val="1"/>
              <c:dLblPos val="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3922-49E7-8F8C-7EEC0914C30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'W Māori 21 May'!$AC$6:$AC$7</c:f>
              <c:numCache>
                <c:formatCode>General</c:formatCode>
                <c:ptCount val="2"/>
                <c:pt idx="0">
                  <c:v>17</c:v>
                </c:pt>
                <c:pt idx="1">
                  <c:v>17</c:v>
                </c:pt>
              </c:numCache>
            </c:numRef>
          </c:xVal>
          <c:yVal>
            <c:numRef>
              <c:f>'W Māori 21 May'!$AE$6:$AE$7</c:f>
              <c:numCache>
                <c:formatCode>General</c:formatCode>
                <c:ptCount val="2"/>
                <c:pt idx="0">
                  <c:v>0</c:v>
                </c:pt>
                <c:pt idx="1">
                  <c:v>52.2</c:v>
                </c:pt>
              </c:numCache>
            </c:numRef>
          </c:yVal>
          <c:smooth val="0"/>
          <c:extLst>
            <c:ext xmlns:c16="http://schemas.microsoft.com/office/drawing/2014/chart" uri="{C3380CC4-5D6E-409C-BE32-E72D297353CC}">
              <c16:uniqueId val="{00000008-3922-49E7-8F8C-7EEC0914C300}"/>
            </c:ext>
          </c:extLst>
        </c:ser>
        <c:dLbls>
          <c:showLegendKey val="0"/>
          <c:showVal val="0"/>
          <c:showCatName val="0"/>
          <c:showSerName val="0"/>
          <c:showPercent val="0"/>
          <c:showBubbleSize val="0"/>
        </c:dLbls>
        <c:axId val="421656160"/>
        <c:axId val="421658456"/>
      </c:scatterChart>
      <c:valAx>
        <c:axId val="421656160"/>
        <c:scaling>
          <c:orientation val="minMax"/>
          <c:max val="27"/>
          <c:min val="1"/>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a:t>Week</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21658456"/>
        <c:crosses val="autoZero"/>
        <c:crossBetween val="midCat"/>
        <c:majorUnit val="2"/>
      </c:valAx>
      <c:valAx>
        <c:axId val="421658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a:t>Cumulative number of </a:t>
                </a:r>
                <a:r>
                  <a:rPr lang="en-NZ" sz="800" b="0" i="0" u="none" strike="noStrike" kern="1200" baseline="0">
                    <a:solidFill>
                      <a:sysClr val="windowText" lastClr="000000">
                        <a:lumMod val="65000"/>
                        <a:lumOff val="35000"/>
                      </a:sysClr>
                    </a:solidFill>
                    <a:latin typeface="+mn-lt"/>
                    <a:ea typeface="+mn-ea"/>
                    <a:cs typeface="+mn-cs"/>
                  </a:rPr>
                  <a:t>surgeries</a:t>
                </a:r>
                <a:endParaRPr lang="en-NZ"/>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21656160"/>
        <c:crosses val="autoZero"/>
        <c:crossBetween val="midCat"/>
      </c:valAx>
      <c:spPr>
        <a:noFill/>
        <a:ln>
          <a:noFill/>
        </a:ln>
        <a:effectLst/>
      </c:spPr>
    </c:plotArea>
    <c:legend>
      <c:legendPos val="t"/>
      <c:legendEntry>
        <c:idx val="3"/>
        <c:delete val="1"/>
      </c:legendEntry>
      <c:legendEntry>
        <c:idx val="4"/>
        <c:delete val="1"/>
      </c:legendEntry>
      <c:overlay val="0"/>
      <c:spPr>
        <a:noFill/>
        <a:ln w="0">
          <a:solidFill>
            <a:schemeClr val="bg1"/>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NZ" sz="1200"/>
              <a:t>Curative prostate surgeries - total population</a:t>
            </a:r>
          </a:p>
        </c:rich>
      </c:tx>
      <c:layout>
        <c:manualLayout>
          <c:xMode val="edge"/>
          <c:yMode val="edge"/>
          <c:x val="0.18182774490466799"/>
          <c:y val="4.3290043290043288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365128326418522"/>
          <c:y val="0.28367514854687831"/>
          <c:w val="0.83045802003160119"/>
          <c:h val="0.60886222969027137"/>
        </c:manualLayout>
      </c:layout>
      <c:barChart>
        <c:barDir val="col"/>
        <c:grouping val="clustered"/>
        <c:varyColors val="0"/>
        <c:ser>
          <c:idx val="2"/>
          <c:order val="0"/>
          <c:tx>
            <c:v>2018</c:v>
          </c:tx>
          <c:spPr>
            <a:solidFill>
              <a:schemeClr val="accent3"/>
            </a:solidFill>
            <a:ln>
              <a:noFill/>
            </a:ln>
            <a:effectLst/>
          </c:spPr>
          <c:invertIfNegative val="0"/>
          <c:val>
            <c:numRef>
              <c:f>MTotalU!$D$2:$D$5</c:f>
              <c:numCache>
                <c:formatCode>General</c:formatCode>
                <c:ptCount val="4"/>
                <c:pt idx="0">
                  <c:v>32</c:v>
                </c:pt>
                <c:pt idx="1">
                  <c:v>46</c:v>
                </c:pt>
                <c:pt idx="2">
                  <c:v>66</c:v>
                </c:pt>
                <c:pt idx="3">
                  <c:v>62</c:v>
                </c:pt>
              </c:numCache>
            </c:numRef>
          </c:val>
          <c:extLst>
            <c:ext xmlns:c16="http://schemas.microsoft.com/office/drawing/2014/chart" uri="{C3380CC4-5D6E-409C-BE32-E72D297353CC}">
              <c16:uniqueId val="{00000000-18CB-4F46-AA09-ADC39F67DB5D}"/>
            </c:ext>
          </c:extLst>
        </c:ser>
        <c:ser>
          <c:idx val="0"/>
          <c:order val="1"/>
          <c:tx>
            <c:v>2019</c:v>
          </c:tx>
          <c:spPr>
            <a:solidFill>
              <a:schemeClr val="accent1"/>
            </a:solidFill>
            <a:ln>
              <a:noFill/>
            </a:ln>
            <a:effectLst/>
          </c:spPr>
          <c:invertIfNegative val="0"/>
          <c:cat>
            <c:strRef>
              <c:f>MTotalU!$A$2:$A$5</c:f>
              <c:strCache>
                <c:ptCount val="4"/>
                <c:pt idx="0">
                  <c:v>Jan</c:v>
                </c:pt>
                <c:pt idx="1">
                  <c:v>Feb</c:v>
                </c:pt>
                <c:pt idx="2">
                  <c:v>Mar</c:v>
                </c:pt>
                <c:pt idx="3">
                  <c:v>Apr</c:v>
                </c:pt>
              </c:strCache>
            </c:strRef>
          </c:cat>
          <c:val>
            <c:numRef>
              <c:f>MTotalU!$H$2:$H$5</c:f>
              <c:numCache>
                <c:formatCode>General</c:formatCode>
                <c:ptCount val="4"/>
                <c:pt idx="0">
                  <c:v>51</c:v>
                </c:pt>
                <c:pt idx="1">
                  <c:v>52</c:v>
                </c:pt>
                <c:pt idx="2">
                  <c:v>63</c:v>
                </c:pt>
                <c:pt idx="3">
                  <c:v>56</c:v>
                </c:pt>
              </c:numCache>
            </c:numRef>
          </c:val>
          <c:extLst>
            <c:ext xmlns:c16="http://schemas.microsoft.com/office/drawing/2014/chart" uri="{C3380CC4-5D6E-409C-BE32-E72D297353CC}">
              <c16:uniqueId val="{00000001-18CB-4F46-AA09-ADC39F67DB5D}"/>
            </c:ext>
          </c:extLst>
        </c:ser>
        <c:ser>
          <c:idx val="1"/>
          <c:order val="2"/>
          <c:tx>
            <c:v>2020</c:v>
          </c:tx>
          <c:spPr>
            <a:solidFill>
              <a:schemeClr val="accent2"/>
            </a:solidFill>
            <a:ln>
              <a:noFill/>
            </a:ln>
            <a:effectLst/>
          </c:spPr>
          <c:invertIfNegative val="0"/>
          <c:val>
            <c:numRef>
              <c:f>MTotalU!$L$2:$L$5</c:f>
              <c:numCache>
                <c:formatCode>General</c:formatCode>
                <c:ptCount val="4"/>
                <c:pt idx="0">
                  <c:v>57</c:v>
                </c:pt>
                <c:pt idx="1">
                  <c:v>60</c:v>
                </c:pt>
                <c:pt idx="2">
                  <c:v>71</c:v>
                </c:pt>
                <c:pt idx="3">
                  <c:v>44</c:v>
                </c:pt>
              </c:numCache>
            </c:numRef>
          </c:val>
          <c:extLst>
            <c:ext xmlns:c16="http://schemas.microsoft.com/office/drawing/2014/chart" uri="{C3380CC4-5D6E-409C-BE32-E72D297353CC}">
              <c16:uniqueId val="{00000002-18CB-4F46-AA09-ADC39F67DB5D}"/>
            </c:ext>
          </c:extLst>
        </c:ser>
        <c:dLbls>
          <c:showLegendKey val="0"/>
          <c:showVal val="0"/>
          <c:showCatName val="0"/>
          <c:showSerName val="0"/>
          <c:showPercent val="0"/>
          <c:showBubbleSize val="0"/>
        </c:dLbls>
        <c:gapWidth val="219"/>
        <c:overlap val="-27"/>
        <c:axId val="418308272"/>
        <c:axId val="418310240"/>
      </c:barChart>
      <c:catAx>
        <c:axId val="41830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8310240"/>
        <c:crosses val="autoZero"/>
        <c:auto val="1"/>
        <c:lblAlgn val="ctr"/>
        <c:lblOffset val="100"/>
        <c:noMultiLvlLbl val="0"/>
      </c:catAx>
      <c:valAx>
        <c:axId val="418310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ysClr val="windowText" lastClr="000000">
                        <a:lumMod val="65000"/>
                        <a:lumOff val="35000"/>
                      </a:sysClr>
                    </a:solidFill>
                    <a:latin typeface="+mn-lt"/>
                    <a:ea typeface="+mn-ea"/>
                    <a:cs typeface="+mn-cs"/>
                  </a:rPr>
                  <a:t>Number of Surgeries</a:t>
                </a:r>
                <a:endParaRPr lang="en-US" sz="800"/>
              </a:p>
            </c:rich>
          </c:tx>
          <c:layout>
            <c:manualLayout>
              <c:xMode val="edge"/>
              <c:yMode val="edge"/>
              <c:x val="8.3748227123783443E-3"/>
              <c:y val="0.3821954839914674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8308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NZ" sz="1200"/>
              <a:t>Curative prostate cancer surgeries - Māori*</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0"/>
          <c:tx>
            <c:v>2018</c:v>
          </c:tx>
          <c:spPr>
            <a:solidFill>
              <a:schemeClr val="accent3"/>
            </a:solidFill>
            <a:ln>
              <a:noFill/>
            </a:ln>
            <a:effectLst/>
          </c:spPr>
          <c:invertIfNegative val="0"/>
          <c:val>
            <c:numRef>
              <c:f>MMāoriU!$D$2:$D$5</c:f>
              <c:numCache>
                <c:formatCode>General</c:formatCode>
                <c:ptCount val="4"/>
                <c:pt idx="0">
                  <c:v>1</c:v>
                </c:pt>
                <c:pt idx="1">
                  <c:v>1</c:v>
                </c:pt>
                <c:pt idx="2">
                  <c:v>6</c:v>
                </c:pt>
                <c:pt idx="3">
                  <c:v>3</c:v>
                </c:pt>
              </c:numCache>
            </c:numRef>
          </c:val>
          <c:extLst>
            <c:ext xmlns:c16="http://schemas.microsoft.com/office/drawing/2014/chart" uri="{C3380CC4-5D6E-409C-BE32-E72D297353CC}">
              <c16:uniqueId val="{00000000-4F03-468F-90D3-8430342BF5A5}"/>
            </c:ext>
          </c:extLst>
        </c:ser>
        <c:ser>
          <c:idx val="0"/>
          <c:order val="1"/>
          <c:tx>
            <c:v>2019</c:v>
          </c:tx>
          <c:spPr>
            <a:solidFill>
              <a:schemeClr val="accent1"/>
            </a:solidFill>
            <a:ln>
              <a:noFill/>
            </a:ln>
            <a:effectLst/>
          </c:spPr>
          <c:invertIfNegative val="0"/>
          <c:cat>
            <c:strRef>
              <c:f>MMāoriU!$A$2:$A$5</c:f>
              <c:strCache>
                <c:ptCount val="4"/>
                <c:pt idx="0">
                  <c:v>Jan</c:v>
                </c:pt>
                <c:pt idx="1">
                  <c:v>Feb</c:v>
                </c:pt>
                <c:pt idx="2">
                  <c:v>Mar</c:v>
                </c:pt>
                <c:pt idx="3">
                  <c:v>Apr</c:v>
                </c:pt>
              </c:strCache>
            </c:strRef>
          </c:cat>
          <c:val>
            <c:numRef>
              <c:f>MMāoriU!$H$2:$H$5</c:f>
              <c:numCache>
                <c:formatCode>General</c:formatCode>
                <c:ptCount val="4"/>
                <c:pt idx="0">
                  <c:v>4</c:v>
                </c:pt>
                <c:pt idx="1">
                  <c:v>1</c:v>
                </c:pt>
                <c:pt idx="2">
                  <c:v>5</c:v>
                </c:pt>
                <c:pt idx="3">
                  <c:v>4</c:v>
                </c:pt>
              </c:numCache>
            </c:numRef>
          </c:val>
          <c:extLst>
            <c:ext xmlns:c16="http://schemas.microsoft.com/office/drawing/2014/chart" uri="{C3380CC4-5D6E-409C-BE32-E72D297353CC}">
              <c16:uniqueId val="{00000001-4F03-468F-90D3-8430342BF5A5}"/>
            </c:ext>
          </c:extLst>
        </c:ser>
        <c:ser>
          <c:idx val="1"/>
          <c:order val="2"/>
          <c:tx>
            <c:v>2020</c:v>
          </c:tx>
          <c:spPr>
            <a:solidFill>
              <a:schemeClr val="accent2"/>
            </a:solidFill>
            <a:ln>
              <a:noFill/>
            </a:ln>
            <a:effectLst/>
          </c:spPr>
          <c:invertIfNegative val="0"/>
          <c:val>
            <c:numRef>
              <c:f>MMāoriU!$L$2:$L$5</c:f>
              <c:numCache>
                <c:formatCode>General</c:formatCode>
                <c:ptCount val="4"/>
                <c:pt idx="0">
                  <c:v>2</c:v>
                </c:pt>
                <c:pt idx="1">
                  <c:v>6</c:v>
                </c:pt>
                <c:pt idx="2">
                  <c:v>5</c:v>
                </c:pt>
                <c:pt idx="3">
                  <c:v>2</c:v>
                </c:pt>
              </c:numCache>
            </c:numRef>
          </c:val>
          <c:extLst>
            <c:ext xmlns:c16="http://schemas.microsoft.com/office/drawing/2014/chart" uri="{C3380CC4-5D6E-409C-BE32-E72D297353CC}">
              <c16:uniqueId val="{00000002-4F03-468F-90D3-8430342BF5A5}"/>
            </c:ext>
          </c:extLst>
        </c:ser>
        <c:dLbls>
          <c:showLegendKey val="0"/>
          <c:showVal val="0"/>
          <c:showCatName val="0"/>
          <c:showSerName val="0"/>
          <c:showPercent val="0"/>
          <c:showBubbleSize val="0"/>
        </c:dLbls>
        <c:gapWidth val="219"/>
        <c:overlap val="-27"/>
        <c:axId val="418308272"/>
        <c:axId val="418310240"/>
      </c:barChart>
      <c:catAx>
        <c:axId val="41830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8310240"/>
        <c:crosses val="autoZero"/>
        <c:auto val="1"/>
        <c:lblAlgn val="ctr"/>
        <c:lblOffset val="100"/>
        <c:noMultiLvlLbl val="0"/>
      </c:catAx>
      <c:valAx>
        <c:axId val="418310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Number of surguries</a:t>
                </a:r>
              </a:p>
            </c:rich>
          </c:tx>
          <c:layout>
            <c:manualLayout>
              <c:xMode val="edge"/>
              <c:yMode val="edge"/>
              <c:x val="3.8412291933418691E-2"/>
              <c:y val="0.4168057880818993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8308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NZ" sz="1100"/>
              <a:t>Cumulative prostate cancer surgeries - total population</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855196119060971"/>
          <c:y val="0.31725612423447069"/>
          <c:w val="0.77930165850011779"/>
          <c:h val="0.49706437736949549"/>
        </c:manualLayout>
      </c:layout>
      <c:scatterChart>
        <c:scatterStyle val="lineMarker"/>
        <c:varyColors val="0"/>
        <c:ser>
          <c:idx val="2"/>
          <c:order val="0"/>
          <c:tx>
            <c:v>2018</c:v>
          </c:tx>
          <c:spPr>
            <a:ln w="19050" cap="rnd">
              <a:solidFill>
                <a:schemeClr val="accent3"/>
              </a:solidFill>
              <a:round/>
            </a:ln>
            <a:effectLst/>
          </c:spPr>
          <c:marker>
            <c:symbol val="none"/>
          </c:marker>
          <c:yVal>
            <c:numRef>
              <c:f>'WTotal 21 May'!$R$3:$R$28</c:f>
              <c:numCache>
                <c:formatCode>General</c:formatCode>
                <c:ptCount val="26"/>
                <c:pt idx="0">
                  <c:v>1</c:v>
                </c:pt>
                <c:pt idx="1">
                  <c:v>7</c:v>
                </c:pt>
                <c:pt idx="2">
                  <c:v>17</c:v>
                </c:pt>
                <c:pt idx="3">
                  <c:v>27</c:v>
                </c:pt>
                <c:pt idx="4">
                  <c:v>41</c:v>
                </c:pt>
                <c:pt idx="5">
                  <c:v>52</c:v>
                </c:pt>
                <c:pt idx="6">
                  <c:v>65</c:v>
                </c:pt>
                <c:pt idx="7">
                  <c:v>75</c:v>
                </c:pt>
                <c:pt idx="8">
                  <c:v>89</c:v>
                </c:pt>
                <c:pt idx="9">
                  <c:v>107</c:v>
                </c:pt>
                <c:pt idx="10">
                  <c:v>119</c:v>
                </c:pt>
                <c:pt idx="11">
                  <c:v>133</c:v>
                </c:pt>
                <c:pt idx="12">
                  <c:v>146</c:v>
                </c:pt>
                <c:pt idx="13">
                  <c:v>163</c:v>
                </c:pt>
                <c:pt idx="14">
                  <c:v>182</c:v>
                </c:pt>
                <c:pt idx="15">
                  <c:v>194</c:v>
                </c:pt>
                <c:pt idx="16">
                  <c:v>204</c:v>
                </c:pt>
                <c:pt idx="17">
                  <c:v>227</c:v>
                </c:pt>
                <c:pt idx="18">
                  <c:v>247</c:v>
                </c:pt>
                <c:pt idx="19">
                  <c:v>263</c:v>
                </c:pt>
                <c:pt idx="20">
                  <c:v>271</c:v>
                </c:pt>
                <c:pt idx="21">
                  <c:v>279</c:v>
                </c:pt>
                <c:pt idx="22">
                  <c:v>292</c:v>
                </c:pt>
                <c:pt idx="23">
                  <c:v>310</c:v>
                </c:pt>
                <c:pt idx="24">
                  <c:v>323</c:v>
                </c:pt>
                <c:pt idx="25">
                  <c:v>338</c:v>
                </c:pt>
              </c:numCache>
            </c:numRef>
          </c:yVal>
          <c:smooth val="0"/>
          <c:extLst>
            <c:ext xmlns:c16="http://schemas.microsoft.com/office/drawing/2014/chart" uri="{C3380CC4-5D6E-409C-BE32-E72D297353CC}">
              <c16:uniqueId val="{00000000-A895-43D1-AEAA-B65BE2FDB4D2}"/>
            </c:ext>
          </c:extLst>
        </c:ser>
        <c:ser>
          <c:idx val="1"/>
          <c:order val="1"/>
          <c:tx>
            <c:v>2019</c:v>
          </c:tx>
          <c:spPr>
            <a:ln w="19050" cap="rnd">
              <a:solidFill>
                <a:schemeClr val="accent1"/>
              </a:solidFill>
              <a:round/>
            </a:ln>
            <a:effectLst/>
          </c:spPr>
          <c:marker>
            <c:symbol val="none"/>
          </c:marker>
          <c:yVal>
            <c:numRef>
              <c:f>'WTotal 21 May'!$V$3:$V$28</c:f>
              <c:numCache>
                <c:formatCode>General</c:formatCode>
                <c:ptCount val="26"/>
                <c:pt idx="0">
                  <c:v>2</c:v>
                </c:pt>
                <c:pt idx="1">
                  <c:v>17</c:v>
                </c:pt>
                <c:pt idx="2">
                  <c:v>30</c:v>
                </c:pt>
                <c:pt idx="3">
                  <c:v>49</c:v>
                </c:pt>
                <c:pt idx="4">
                  <c:v>60</c:v>
                </c:pt>
                <c:pt idx="5">
                  <c:v>75</c:v>
                </c:pt>
                <c:pt idx="6">
                  <c:v>86</c:v>
                </c:pt>
                <c:pt idx="7">
                  <c:v>96</c:v>
                </c:pt>
                <c:pt idx="8">
                  <c:v>113</c:v>
                </c:pt>
                <c:pt idx="9">
                  <c:v>131</c:v>
                </c:pt>
                <c:pt idx="10">
                  <c:v>145</c:v>
                </c:pt>
                <c:pt idx="11">
                  <c:v>153</c:v>
                </c:pt>
                <c:pt idx="12">
                  <c:v>169</c:v>
                </c:pt>
                <c:pt idx="13">
                  <c:v>187</c:v>
                </c:pt>
                <c:pt idx="14">
                  <c:v>203</c:v>
                </c:pt>
                <c:pt idx="15">
                  <c:v>214</c:v>
                </c:pt>
                <c:pt idx="16">
                  <c:v>222</c:v>
                </c:pt>
                <c:pt idx="17">
                  <c:v>232</c:v>
                </c:pt>
                <c:pt idx="18">
                  <c:v>249</c:v>
                </c:pt>
                <c:pt idx="19">
                  <c:v>266</c:v>
                </c:pt>
                <c:pt idx="20">
                  <c:v>278</c:v>
                </c:pt>
                <c:pt idx="21">
                  <c:v>287</c:v>
                </c:pt>
                <c:pt idx="22">
                  <c:v>303</c:v>
                </c:pt>
                <c:pt idx="23">
                  <c:v>320</c:v>
                </c:pt>
                <c:pt idx="24">
                  <c:v>334</c:v>
                </c:pt>
                <c:pt idx="25">
                  <c:v>344</c:v>
                </c:pt>
              </c:numCache>
            </c:numRef>
          </c:yVal>
          <c:smooth val="0"/>
          <c:extLst>
            <c:ext xmlns:c16="http://schemas.microsoft.com/office/drawing/2014/chart" uri="{C3380CC4-5D6E-409C-BE32-E72D297353CC}">
              <c16:uniqueId val="{00000001-A895-43D1-AEAA-B65BE2FDB4D2}"/>
            </c:ext>
          </c:extLst>
        </c:ser>
        <c:ser>
          <c:idx val="0"/>
          <c:order val="2"/>
          <c:tx>
            <c:v>2020</c:v>
          </c:tx>
          <c:spPr>
            <a:ln w="19050" cap="rnd">
              <a:solidFill>
                <a:schemeClr val="accent2"/>
              </a:solidFill>
              <a:round/>
            </a:ln>
            <a:effectLst/>
          </c:spPr>
          <c:marker>
            <c:symbol val="none"/>
          </c:marker>
          <c:yVal>
            <c:numRef>
              <c:f>'WTotal 21 May'!$Z$3:$Z$19</c:f>
              <c:numCache>
                <c:formatCode>General</c:formatCode>
                <c:ptCount val="17"/>
                <c:pt idx="0">
                  <c:v>1</c:v>
                </c:pt>
                <c:pt idx="1">
                  <c:v>12</c:v>
                </c:pt>
                <c:pt idx="2">
                  <c:v>25</c:v>
                </c:pt>
                <c:pt idx="3">
                  <c:v>45</c:v>
                </c:pt>
                <c:pt idx="4">
                  <c:v>62</c:v>
                </c:pt>
                <c:pt idx="5">
                  <c:v>75</c:v>
                </c:pt>
                <c:pt idx="6">
                  <c:v>90</c:v>
                </c:pt>
                <c:pt idx="7">
                  <c:v>101</c:v>
                </c:pt>
                <c:pt idx="8">
                  <c:v>119</c:v>
                </c:pt>
                <c:pt idx="9">
                  <c:v>142</c:v>
                </c:pt>
                <c:pt idx="10">
                  <c:v>156</c:v>
                </c:pt>
                <c:pt idx="11">
                  <c:v>180</c:v>
                </c:pt>
                <c:pt idx="12">
                  <c:v>188</c:v>
                </c:pt>
                <c:pt idx="13">
                  <c:v>198</c:v>
                </c:pt>
                <c:pt idx="14">
                  <c:v>205</c:v>
                </c:pt>
                <c:pt idx="15">
                  <c:v>218</c:v>
                </c:pt>
                <c:pt idx="16">
                  <c:v>229</c:v>
                </c:pt>
              </c:numCache>
            </c:numRef>
          </c:yVal>
          <c:smooth val="0"/>
          <c:extLst>
            <c:ext xmlns:c16="http://schemas.microsoft.com/office/drawing/2014/chart" uri="{C3380CC4-5D6E-409C-BE32-E72D297353CC}">
              <c16:uniqueId val="{00000002-A895-43D1-AEAA-B65BE2FDB4D2}"/>
            </c:ext>
          </c:extLst>
        </c:ser>
        <c:ser>
          <c:idx val="3"/>
          <c:order val="3"/>
          <c:tx>
            <c:v>Level 4</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A895-43D1-AEAA-B65BE2FDB4D2}"/>
                </c:ext>
              </c:extLst>
            </c:dLbl>
            <c:dLbl>
              <c:idx val="1"/>
              <c:layout>
                <c:manualLayout>
                  <c:x val="-7.5340272217774298E-2"/>
                  <c:y val="-2.7233887430737826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A895-43D1-AEAA-B65BE2FDB4D2}"/>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'WTotal 21 May'!$AC$3:$AC$4</c:f>
              <c:numCache>
                <c:formatCode>General</c:formatCode>
                <c:ptCount val="2"/>
                <c:pt idx="0">
                  <c:v>12</c:v>
                </c:pt>
                <c:pt idx="1">
                  <c:v>12</c:v>
                </c:pt>
              </c:numCache>
            </c:numRef>
          </c:xVal>
          <c:yVal>
            <c:numRef>
              <c:f>'WTotal 21 May'!$AF$3:$AF$4</c:f>
              <c:numCache>
                <c:formatCode>General</c:formatCode>
                <c:ptCount val="2"/>
                <c:pt idx="0">
                  <c:v>0</c:v>
                </c:pt>
                <c:pt idx="1">
                  <c:v>338</c:v>
                </c:pt>
              </c:numCache>
            </c:numRef>
          </c:yVal>
          <c:smooth val="0"/>
          <c:extLst>
            <c:ext xmlns:c16="http://schemas.microsoft.com/office/drawing/2014/chart" uri="{C3380CC4-5D6E-409C-BE32-E72D297353CC}">
              <c16:uniqueId val="{00000005-A895-43D1-AEAA-B65BE2FDB4D2}"/>
            </c:ext>
          </c:extLst>
        </c:ser>
        <c:ser>
          <c:idx val="4"/>
          <c:order val="4"/>
          <c:tx>
            <c:v>Level 3</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6-A895-43D1-AEAA-B65BE2FDB4D2}"/>
                </c:ext>
              </c:extLst>
            </c:dLbl>
            <c:dLbl>
              <c:idx val="1"/>
              <c:layout>
                <c:manualLayout>
                  <c:x val="-7.9343474779823855E-2"/>
                  <c:y val="-3.6493146689997126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A895-43D1-AEAA-B65BE2FDB4D2}"/>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'WTotal 21 May'!$AC$6:$AC$7</c:f>
              <c:numCache>
                <c:formatCode>General</c:formatCode>
                <c:ptCount val="2"/>
                <c:pt idx="0">
                  <c:v>17</c:v>
                </c:pt>
                <c:pt idx="1">
                  <c:v>17</c:v>
                </c:pt>
              </c:numCache>
            </c:numRef>
          </c:xVal>
          <c:yVal>
            <c:numRef>
              <c:f>'WTotal 21 May'!$AF$6:$AF$7</c:f>
              <c:numCache>
                <c:formatCode>General</c:formatCode>
                <c:ptCount val="2"/>
                <c:pt idx="0">
                  <c:v>0</c:v>
                </c:pt>
                <c:pt idx="1">
                  <c:v>304.2</c:v>
                </c:pt>
              </c:numCache>
            </c:numRef>
          </c:yVal>
          <c:smooth val="0"/>
          <c:extLst>
            <c:ext xmlns:c16="http://schemas.microsoft.com/office/drawing/2014/chart" uri="{C3380CC4-5D6E-409C-BE32-E72D297353CC}">
              <c16:uniqueId val="{00000008-A895-43D1-AEAA-B65BE2FDB4D2}"/>
            </c:ext>
          </c:extLst>
        </c:ser>
        <c:dLbls>
          <c:showLegendKey val="0"/>
          <c:showVal val="0"/>
          <c:showCatName val="0"/>
          <c:showSerName val="0"/>
          <c:showPercent val="0"/>
          <c:showBubbleSize val="0"/>
        </c:dLbls>
        <c:axId val="421656160"/>
        <c:axId val="421658456"/>
      </c:scatterChart>
      <c:valAx>
        <c:axId val="421656160"/>
        <c:scaling>
          <c:orientation val="minMax"/>
          <c:max val="27"/>
          <c:min val="1"/>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a:t>Week</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21658456"/>
        <c:crosses val="autoZero"/>
        <c:crossBetween val="midCat"/>
        <c:majorUnit val="2"/>
      </c:valAx>
      <c:valAx>
        <c:axId val="421658456"/>
        <c:scaling>
          <c:orientation val="minMax"/>
          <c:max val="3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Cumulative number of </a:t>
                </a:r>
                <a:r>
                  <a:rPr lang="en-US" sz="800" b="0" i="0" u="none" strike="noStrike" kern="1200" baseline="0">
                    <a:solidFill>
                      <a:sysClr val="windowText" lastClr="000000">
                        <a:lumMod val="65000"/>
                        <a:lumOff val="35000"/>
                      </a:sysClr>
                    </a:solidFill>
                    <a:latin typeface="+mn-lt"/>
                    <a:ea typeface="+mn-ea"/>
                    <a:cs typeface="+mn-cs"/>
                  </a:rPr>
                  <a:t>surgeries</a:t>
                </a:r>
                <a:endParaRPr lang="en-US"/>
              </a:p>
            </c:rich>
          </c:tx>
          <c:layout>
            <c:manualLayout>
              <c:xMode val="edge"/>
              <c:yMode val="edge"/>
              <c:x val="2.4767801857585141E-2"/>
              <c:y val="0.3172561242344706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21656160"/>
        <c:crosses val="autoZero"/>
        <c:crossBetween val="midCat"/>
      </c:valAx>
      <c:spPr>
        <a:noFill/>
        <a:ln>
          <a:noFill/>
        </a:ln>
        <a:effectLst/>
      </c:spPr>
    </c:plotArea>
    <c:legend>
      <c:legendPos val="t"/>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NZ" sz="1100"/>
              <a:t>Cumulative prostate cancer surgeries - Māori</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428540610505879"/>
          <c:y val="0.31865762768958694"/>
          <c:w val="0.80225849008073147"/>
          <c:h val="0.49484262037577781"/>
        </c:manualLayout>
      </c:layout>
      <c:scatterChart>
        <c:scatterStyle val="lineMarker"/>
        <c:varyColors val="0"/>
        <c:ser>
          <c:idx val="2"/>
          <c:order val="0"/>
          <c:tx>
            <c:v>2018</c:v>
          </c:tx>
          <c:spPr>
            <a:ln w="19050" cap="rnd">
              <a:solidFill>
                <a:schemeClr val="accent3"/>
              </a:solidFill>
              <a:round/>
            </a:ln>
            <a:effectLst/>
          </c:spPr>
          <c:marker>
            <c:symbol val="none"/>
          </c:marker>
          <c:yVal>
            <c:numRef>
              <c:f>'W Māori 21 May'!$R$3:$R$28</c:f>
              <c:numCache>
                <c:formatCode>General</c:formatCode>
                <c:ptCount val="26"/>
                <c:pt idx="0">
                  <c:v>0</c:v>
                </c:pt>
                <c:pt idx="1">
                  <c:v>0</c:v>
                </c:pt>
                <c:pt idx="2">
                  <c:v>0</c:v>
                </c:pt>
                <c:pt idx="3">
                  <c:v>0</c:v>
                </c:pt>
                <c:pt idx="4">
                  <c:v>1</c:v>
                </c:pt>
                <c:pt idx="5">
                  <c:v>2</c:v>
                </c:pt>
                <c:pt idx="6">
                  <c:v>2</c:v>
                </c:pt>
                <c:pt idx="7">
                  <c:v>2</c:v>
                </c:pt>
                <c:pt idx="8">
                  <c:v>2</c:v>
                </c:pt>
                <c:pt idx="9">
                  <c:v>5</c:v>
                </c:pt>
                <c:pt idx="10">
                  <c:v>6</c:v>
                </c:pt>
                <c:pt idx="11">
                  <c:v>7</c:v>
                </c:pt>
                <c:pt idx="12">
                  <c:v>8</c:v>
                </c:pt>
                <c:pt idx="13">
                  <c:v>9</c:v>
                </c:pt>
                <c:pt idx="14">
                  <c:v>11</c:v>
                </c:pt>
                <c:pt idx="15">
                  <c:v>11</c:v>
                </c:pt>
                <c:pt idx="16">
                  <c:v>11</c:v>
                </c:pt>
                <c:pt idx="17">
                  <c:v>11</c:v>
                </c:pt>
                <c:pt idx="18">
                  <c:v>12</c:v>
                </c:pt>
                <c:pt idx="19">
                  <c:v>13</c:v>
                </c:pt>
                <c:pt idx="20">
                  <c:v>14</c:v>
                </c:pt>
                <c:pt idx="21">
                  <c:v>14</c:v>
                </c:pt>
                <c:pt idx="22">
                  <c:v>14</c:v>
                </c:pt>
                <c:pt idx="23">
                  <c:v>16</c:v>
                </c:pt>
                <c:pt idx="24">
                  <c:v>16</c:v>
                </c:pt>
                <c:pt idx="25">
                  <c:v>17</c:v>
                </c:pt>
              </c:numCache>
            </c:numRef>
          </c:yVal>
          <c:smooth val="0"/>
          <c:extLst>
            <c:ext xmlns:c16="http://schemas.microsoft.com/office/drawing/2014/chart" uri="{C3380CC4-5D6E-409C-BE32-E72D297353CC}">
              <c16:uniqueId val="{00000000-FD14-46B7-B4EA-43BD726A8D9B}"/>
            </c:ext>
          </c:extLst>
        </c:ser>
        <c:ser>
          <c:idx val="1"/>
          <c:order val="1"/>
          <c:tx>
            <c:v>2019</c:v>
          </c:tx>
          <c:spPr>
            <a:ln w="19050" cap="rnd">
              <a:solidFill>
                <a:schemeClr val="accent1"/>
              </a:solidFill>
              <a:round/>
            </a:ln>
            <a:effectLst/>
          </c:spPr>
          <c:marker>
            <c:symbol val="none"/>
          </c:marker>
          <c:yVal>
            <c:numRef>
              <c:f>'W Māori 21 May'!$V$3:$V$28</c:f>
              <c:numCache>
                <c:formatCode>General</c:formatCode>
                <c:ptCount val="26"/>
                <c:pt idx="0">
                  <c:v>0</c:v>
                </c:pt>
                <c:pt idx="1">
                  <c:v>2</c:v>
                </c:pt>
                <c:pt idx="2">
                  <c:v>2</c:v>
                </c:pt>
                <c:pt idx="3">
                  <c:v>4</c:v>
                </c:pt>
                <c:pt idx="4">
                  <c:v>4</c:v>
                </c:pt>
                <c:pt idx="5">
                  <c:v>4</c:v>
                </c:pt>
                <c:pt idx="6">
                  <c:v>5</c:v>
                </c:pt>
                <c:pt idx="7">
                  <c:v>5</c:v>
                </c:pt>
                <c:pt idx="8">
                  <c:v>6</c:v>
                </c:pt>
                <c:pt idx="9">
                  <c:v>8</c:v>
                </c:pt>
                <c:pt idx="10">
                  <c:v>9</c:v>
                </c:pt>
                <c:pt idx="11">
                  <c:v>9</c:v>
                </c:pt>
                <c:pt idx="12">
                  <c:v>10</c:v>
                </c:pt>
                <c:pt idx="13">
                  <c:v>12</c:v>
                </c:pt>
                <c:pt idx="14">
                  <c:v>13</c:v>
                </c:pt>
                <c:pt idx="15">
                  <c:v>14</c:v>
                </c:pt>
                <c:pt idx="16">
                  <c:v>14</c:v>
                </c:pt>
                <c:pt idx="17">
                  <c:v>15</c:v>
                </c:pt>
                <c:pt idx="18">
                  <c:v>17</c:v>
                </c:pt>
                <c:pt idx="19">
                  <c:v>17</c:v>
                </c:pt>
                <c:pt idx="20">
                  <c:v>18</c:v>
                </c:pt>
                <c:pt idx="21">
                  <c:v>18</c:v>
                </c:pt>
                <c:pt idx="22">
                  <c:v>19</c:v>
                </c:pt>
                <c:pt idx="23">
                  <c:v>21</c:v>
                </c:pt>
                <c:pt idx="24">
                  <c:v>23</c:v>
                </c:pt>
                <c:pt idx="25">
                  <c:v>24</c:v>
                </c:pt>
              </c:numCache>
            </c:numRef>
          </c:yVal>
          <c:smooth val="0"/>
          <c:extLst>
            <c:ext xmlns:c16="http://schemas.microsoft.com/office/drawing/2014/chart" uri="{C3380CC4-5D6E-409C-BE32-E72D297353CC}">
              <c16:uniqueId val="{00000001-FD14-46B7-B4EA-43BD726A8D9B}"/>
            </c:ext>
          </c:extLst>
        </c:ser>
        <c:ser>
          <c:idx val="0"/>
          <c:order val="2"/>
          <c:tx>
            <c:v>2020</c:v>
          </c:tx>
          <c:spPr>
            <a:ln w="19050" cap="rnd">
              <a:solidFill>
                <a:schemeClr val="accent2"/>
              </a:solidFill>
              <a:round/>
            </a:ln>
            <a:effectLst/>
          </c:spPr>
          <c:marker>
            <c:symbol val="none"/>
          </c:marker>
          <c:yVal>
            <c:numRef>
              <c:f>'W Māori 21 May'!$Z$3:$Z$19</c:f>
              <c:numCache>
                <c:formatCode>General</c:formatCode>
                <c:ptCount val="17"/>
                <c:pt idx="0">
                  <c:v>0</c:v>
                </c:pt>
                <c:pt idx="1">
                  <c:v>1</c:v>
                </c:pt>
                <c:pt idx="2">
                  <c:v>1</c:v>
                </c:pt>
                <c:pt idx="3">
                  <c:v>1</c:v>
                </c:pt>
                <c:pt idx="4">
                  <c:v>2</c:v>
                </c:pt>
                <c:pt idx="5">
                  <c:v>2</c:v>
                </c:pt>
                <c:pt idx="6">
                  <c:v>4</c:v>
                </c:pt>
                <c:pt idx="7">
                  <c:v>4</c:v>
                </c:pt>
                <c:pt idx="8">
                  <c:v>8</c:v>
                </c:pt>
                <c:pt idx="9">
                  <c:v>11</c:v>
                </c:pt>
                <c:pt idx="10">
                  <c:v>13</c:v>
                </c:pt>
                <c:pt idx="11">
                  <c:v>13</c:v>
                </c:pt>
                <c:pt idx="12">
                  <c:v>13</c:v>
                </c:pt>
                <c:pt idx="13">
                  <c:v>13</c:v>
                </c:pt>
                <c:pt idx="14">
                  <c:v>13</c:v>
                </c:pt>
                <c:pt idx="15">
                  <c:v>14</c:v>
                </c:pt>
                <c:pt idx="16">
                  <c:v>15</c:v>
                </c:pt>
              </c:numCache>
            </c:numRef>
          </c:yVal>
          <c:smooth val="0"/>
          <c:extLst>
            <c:ext xmlns:c16="http://schemas.microsoft.com/office/drawing/2014/chart" uri="{C3380CC4-5D6E-409C-BE32-E72D297353CC}">
              <c16:uniqueId val="{00000002-FD14-46B7-B4EA-43BD726A8D9B}"/>
            </c:ext>
          </c:extLst>
        </c:ser>
        <c:ser>
          <c:idx val="3"/>
          <c:order val="3"/>
          <c:tx>
            <c:v>Level 4</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FD14-46B7-B4EA-43BD726A8D9B}"/>
                </c:ext>
              </c:extLst>
            </c:dLbl>
            <c:dLbl>
              <c:idx val="1"/>
              <c:dLblPos val="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FD14-46B7-B4EA-43BD726A8D9B}"/>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'W Māori 21 May'!$AC$3:$AC$4</c:f>
              <c:numCache>
                <c:formatCode>General</c:formatCode>
                <c:ptCount val="2"/>
                <c:pt idx="0">
                  <c:v>12</c:v>
                </c:pt>
                <c:pt idx="1">
                  <c:v>12</c:v>
                </c:pt>
              </c:numCache>
            </c:numRef>
          </c:xVal>
          <c:yVal>
            <c:numRef>
              <c:f>'W Māori 21 May'!$AF$3:$AF$4</c:f>
              <c:numCache>
                <c:formatCode>General</c:formatCode>
                <c:ptCount val="2"/>
                <c:pt idx="0">
                  <c:v>0</c:v>
                </c:pt>
                <c:pt idx="1">
                  <c:v>17</c:v>
                </c:pt>
              </c:numCache>
            </c:numRef>
          </c:yVal>
          <c:smooth val="0"/>
          <c:extLst>
            <c:ext xmlns:c16="http://schemas.microsoft.com/office/drawing/2014/chart" uri="{C3380CC4-5D6E-409C-BE32-E72D297353CC}">
              <c16:uniqueId val="{00000005-FD14-46B7-B4EA-43BD726A8D9B}"/>
            </c:ext>
          </c:extLst>
        </c:ser>
        <c:ser>
          <c:idx val="4"/>
          <c:order val="4"/>
          <c:tx>
            <c:v>Level 3</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6-FD14-46B7-B4EA-43BD726A8D9B}"/>
                </c:ext>
              </c:extLst>
            </c:dLbl>
            <c:dLbl>
              <c:idx val="1"/>
              <c:dLblPos val="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FD14-46B7-B4EA-43BD726A8D9B}"/>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'W Māori 21 May'!$AC$6:$AC$7</c:f>
              <c:numCache>
                <c:formatCode>General</c:formatCode>
                <c:ptCount val="2"/>
                <c:pt idx="0">
                  <c:v>17</c:v>
                </c:pt>
                <c:pt idx="1">
                  <c:v>17</c:v>
                </c:pt>
              </c:numCache>
            </c:numRef>
          </c:xVal>
          <c:yVal>
            <c:numRef>
              <c:f>'W Māori 21 May'!$AF$6:$AF$7</c:f>
              <c:numCache>
                <c:formatCode>General</c:formatCode>
                <c:ptCount val="2"/>
                <c:pt idx="0">
                  <c:v>0</c:v>
                </c:pt>
                <c:pt idx="1">
                  <c:v>15.3</c:v>
                </c:pt>
              </c:numCache>
            </c:numRef>
          </c:yVal>
          <c:smooth val="0"/>
          <c:extLst>
            <c:ext xmlns:c16="http://schemas.microsoft.com/office/drawing/2014/chart" uri="{C3380CC4-5D6E-409C-BE32-E72D297353CC}">
              <c16:uniqueId val="{00000008-FD14-46B7-B4EA-43BD726A8D9B}"/>
            </c:ext>
          </c:extLst>
        </c:ser>
        <c:dLbls>
          <c:showLegendKey val="0"/>
          <c:showVal val="0"/>
          <c:showCatName val="0"/>
          <c:showSerName val="0"/>
          <c:showPercent val="0"/>
          <c:showBubbleSize val="0"/>
        </c:dLbls>
        <c:axId val="421656160"/>
        <c:axId val="421658456"/>
      </c:scatterChart>
      <c:valAx>
        <c:axId val="421656160"/>
        <c:scaling>
          <c:orientation val="minMax"/>
          <c:max val="27"/>
          <c:min val="1"/>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a:t>Week</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21658456"/>
        <c:crosses val="autoZero"/>
        <c:crossBetween val="midCat"/>
        <c:majorUnit val="2"/>
      </c:valAx>
      <c:valAx>
        <c:axId val="421658456"/>
        <c:scaling>
          <c:orientation val="minMax"/>
          <c:max val="27"/>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Cumulative number of </a:t>
                </a:r>
                <a:r>
                  <a:rPr lang="en-US" sz="800" b="0" i="0" u="none" strike="noStrike" kern="1200" baseline="0">
                    <a:solidFill>
                      <a:sysClr val="windowText" lastClr="000000">
                        <a:lumMod val="65000"/>
                        <a:lumOff val="35000"/>
                      </a:sysClr>
                    </a:solidFill>
                    <a:latin typeface="+mn-lt"/>
                    <a:ea typeface="+mn-ea"/>
                    <a:cs typeface="+mn-cs"/>
                  </a:rPr>
                  <a:t>surgeries</a:t>
                </a:r>
                <a:endParaRPr lang="en-US"/>
              </a:p>
            </c:rich>
          </c:tx>
          <c:layout>
            <c:manualLayout>
              <c:xMode val="edge"/>
              <c:yMode val="edge"/>
              <c:x val="2.5289778714436249E-2"/>
              <c:y val="0.3233077090660110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21656160"/>
        <c:crosses val="autoZero"/>
        <c:crossBetween val="midCat"/>
      </c:valAx>
      <c:spPr>
        <a:noFill/>
        <a:ln>
          <a:noFill/>
        </a:ln>
        <a:effectLst/>
      </c:spPr>
    </c:plotArea>
    <c:legend>
      <c:legendPos val="t"/>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960" b="0" i="0" u="none" strike="noStrike" kern="1200" spc="0" baseline="0">
                <a:solidFill>
                  <a:schemeClr val="tx1">
                    <a:lumMod val="65000"/>
                    <a:lumOff val="35000"/>
                  </a:schemeClr>
                </a:solidFill>
                <a:latin typeface="+mn-lt"/>
                <a:ea typeface="+mn-ea"/>
                <a:cs typeface="+mn-cs"/>
              </a:defRPr>
            </a:pPr>
            <a:r>
              <a:rPr lang="en-NZ"/>
              <a:t>Medical Oncology FSAs - total population</a:t>
            </a:r>
          </a:p>
        </c:rich>
      </c:tx>
      <c:layout>
        <c:manualLayout>
          <c:xMode val="edge"/>
          <c:yMode val="edge"/>
          <c:x val="0.18330555555555558"/>
          <c:y val="4.1522491349480967E-2"/>
        </c:manualLayout>
      </c:layout>
      <c:overlay val="0"/>
      <c:spPr>
        <a:noFill/>
        <a:ln>
          <a:noFill/>
        </a:ln>
        <a:effectLst/>
      </c:spPr>
      <c:txPr>
        <a:bodyPr rot="0" spcFirstLastPara="1" vertOverflow="ellipsis" vert="horz" wrap="square" anchor="ctr" anchorCtr="1"/>
        <a:lstStyle/>
        <a:p>
          <a:pPr algn="ctr" rtl="0">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0"/>
          <c:tx>
            <c:strRef>
              <c:f>'M MedOnc FSAs'!$B$1</c:f>
              <c:strCache>
                <c:ptCount val="1"/>
                <c:pt idx="0">
                  <c:v>2018</c:v>
                </c:pt>
              </c:strCache>
            </c:strRef>
          </c:tx>
          <c:spPr>
            <a:solidFill>
              <a:schemeClr val="accent3"/>
            </a:solidFill>
            <a:ln>
              <a:noFill/>
            </a:ln>
            <a:effectLst/>
          </c:spPr>
          <c:invertIfNegative val="0"/>
          <c:val>
            <c:numRef>
              <c:f>'M MedOnc FSAs'!$B$2:$B$5</c:f>
              <c:numCache>
                <c:formatCode>General</c:formatCode>
                <c:ptCount val="4"/>
                <c:pt idx="0">
                  <c:v>669</c:v>
                </c:pt>
                <c:pt idx="1">
                  <c:v>673</c:v>
                </c:pt>
                <c:pt idx="2">
                  <c:v>754</c:v>
                </c:pt>
                <c:pt idx="3">
                  <c:v>639</c:v>
                </c:pt>
              </c:numCache>
            </c:numRef>
          </c:val>
          <c:extLst>
            <c:ext xmlns:c16="http://schemas.microsoft.com/office/drawing/2014/chart" uri="{C3380CC4-5D6E-409C-BE32-E72D297353CC}">
              <c16:uniqueId val="{00000000-722D-4092-8E3E-40217BD5472A}"/>
            </c:ext>
          </c:extLst>
        </c:ser>
        <c:ser>
          <c:idx val="0"/>
          <c:order val="1"/>
          <c:tx>
            <c:strRef>
              <c:f>'M MedOnc FSAs'!$C$1</c:f>
              <c:strCache>
                <c:ptCount val="1"/>
                <c:pt idx="0">
                  <c:v>2019</c:v>
                </c:pt>
              </c:strCache>
            </c:strRef>
          </c:tx>
          <c:spPr>
            <a:solidFill>
              <a:schemeClr val="accent1"/>
            </a:solidFill>
            <a:ln>
              <a:noFill/>
            </a:ln>
            <a:effectLst/>
          </c:spPr>
          <c:invertIfNegative val="0"/>
          <c:cat>
            <c:strRef>
              <c:f>'M MedOnc FSAs'!$A$2:$A$5</c:f>
              <c:strCache>
                <c:ptCount val="4"/>
                <c:pt idx="0">
                  <c:v>Jan</c:v>
                </c:pt>
                <c:pt idx="1">
                  <c:v>Feb</c:v>
                </c:pt>
                <c:pt idx="2">
                  <c:v>Mar</c:v>
                </c:pt>
                <c:pt idx="3">
                  <c:v>Apr</c:v>
                </c:pt>
              </c:strCache>
            </c:strRef>
          </c:cat>
          <c:val>
            <c:numRef>
              <c:f>'M MedOnc FSAs'!$C$2:$C$5</c:f>
              <c:numCache>
                <c:formatCode>General</c:formatCode>
                <c:ptCount val="4"/>
                <c:pt idx="0">
                  <c:v>714</c:v>
                </c:pt>
                <c:pt idx="1">
                  <c:v>720</c:v>
                </c:pt>
                <c:pt idx="2">
                  <c:v>732</c:v>
                </c:pt>
                <c:pt idx="3">
                  <c:v>703</c:v>
                </c:pt>
              </c:numCache>
            </c:numRef>
          </c:val>
          <c:extLst>
            <c:ext xmlns:c16="http://schemas.microsoft.com/office/drawing/2014/chart" uri="{C3380CC4-5D6E-409C-BE32-E72D297353CC}">
              <c16:uniqueId val="{00000001-722D-4092-8E3E-40217BD5472A}"/>
            </c:ext>
          </c:extLst>
        </c:ser>
        <c:ser>
          <c:idx val="1"/>
          <c:order val="2"/>
          <c:tx>
            <c:strRef>
              <c:f>'M MedOnc FSAs'!$D$1</c:f>
              <c:strCache>
                <c:ptCount val="1"/>
                <c:pt idx="0">
                  <c:v>2020</c:v>
                </c:pt>
              </c:strCache>
            </c:strRef>
          </c:tx>
          <c:spPr>
            <a:solidFill>
              <a:schemeClr val="accent2"/>
            </a:solidFill>
            <a:ln>
              <a:noFill/>
            </a:ln>
            <a:effectLst/>
          </c:spPr>
          <c:invertIfNegative val="0"/>
          <c:val>
            <c:numRef>
              <c:f>'M MedOnc FSAs'!$D$2:$D$5</c:f>
              <c:numCache>
                <c:formatCode>General</c:formatCode>
                <c:ptCount val="4"/>
                <c:pt idx="0">
                  <c:v>684</c:v>
                </c:pt>
                <c:pt idx="1">
                  <c:v>707</c:v>
                </c:pt>
                <c:pt idx="2">
                  <c:v>826</c:v>
                </c:pt>
                <c:pt idx="3">
                  <c:v>766</c:v>
                </c:pt>
              </c:numCache>
            </c:numRef>
          </c:val>
          <c:extLst>
            <c:ext xmlns:c16="http://schemas.microsoft.com/office/drawing/2014/chart" uri="{C3380CC4-5D6E-409C-BE32-E72D297353CC}">
              <c16:uniqueId val="{00000002-722D-4092-8E3E-40217BD5472A}"/>
            </c:ext>
          </c:extLst>
        </c:ser>
        <c:dLbls>
          <c:showLegendKey val="0"/>
          <c:showVal val="0"/>
          <c:showCatName val="0"/>
          <c:showSerName val="0"/>
          <c:showPercent val="0"/>
          <c:showBubbleSize val="0"/>
        </c:dLbls>
        <c:gapWidth val="219"/>
        <c:overlap val="-27"/>
        <c:axId val="419937272"/>
        <c:axId val="419937928"/>
      </c:barChart>
      <c:catAx>
        <c:axId val="419937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37928"/>
        <c:crosses val="autoZero"/>
        <c:auto val="1"/>
        <c:lblAlgn val="ctr"/>
        <c:lblOffset val="100"/>
        <c:noMultiLvlLbl val="0"/>
      </c:catAx>
      <c:valAx>
        <c:axId val="419937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Number of FSAs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37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960" b="0" i="0" u="none" strike="noStrike" kern="1200" spc="0" baseline="0">
                <a:solidFill>
                  <a:schemeClr val="tx1">
                    <a:lumMod val="65000"/>
                    <a:lumOff val="35000"/>
                  </a:schemeClr>
                </a:solidFill>
                <a:latin typeface="+mn-lt"/>
                <a:ea typeface="+mn-ea"/>
                <a:cs typeface="+mn-cs"/>
              </a:defRPr>
            </a:pPr>
            <a:r>
              <a:rPr lang="en-NZ"/>
              <a:t>Medical oncology FSAs - Māori</a:t>
            </a:r>
          </a:p>
        </c:rich>
      </c:tx>
      <c:overlay val="0"/>
      <c:spPr>
        <a:noFill/>
        <a:ln>
          <a:noFill/>
        </a:ln>
        <a:effectLst/>
      </c:spPr>
      <c:txPr>
        <a:bodyPr rot="0" spcFirstLastPara="1" vertOverflow="ellipsis" vert="horz" wrap="square" anchor="ctr" anchorCtr="1"/>
        <a:lstStyle/>
        <a:p>
          <a:pPr algn="ctr" rtl="0">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0"/>
          <c:tx>
            <c:v>2018</c:v>
          </c:tx>
          <c:spPr>
            <a:solidFill>
              <a:schemeClr val="accent3"/>
            </a:solidFill>
            <a:ln>
              <a:noFill/>
            </a:ln>
            <a:effectLst/>
          </c:spPr>
          <c:invertIfNegative val="0"/>
          <c:val>
            <c:numRef>
              <c:f>'M MedOnc FSAs'!$F$2:$F$5</c:f>
              <c:numCache>
                <c:formatCode>General</c:formatCode>
                <c:ptCount val="4"/>
                <c:pt idx="0">
                  <c:v>83</c:v>
                </c:pt>
                <c:pt idx="1">
                  <c:v>84</c:v>
                </c:pt>
                <c:pt idx="2">
                  <c:v>95</c:v>
                </c:pt>
                <c:pt idx="3">
                  <c:v>84</c:v>
                </c:pt>
              </c:numCache>
            </c:numRef>
          </c:val>
          <c:extLst>
            <c:ext xmlns:c16="http://schemas.microsoft.com/office/drawing/2014/chart" uri="{C3380CC4-5D6E-409C-BE32-E72D297353CC}">
              <c16:uniqueId val="{00000000-F158-4AF9-9619-3ACECDFC9F6C}"/>
            </c:ext>
          </c:extLst>
        </c:ser>
        <c:ser>
          <c:idx val="0"/>
          <c:order val="1"/>
          <c:tx>
            <c:v>2019</c:v>
          </c:tx>
          <c:spPr>
            <a:solidFill>
              <a:schemeClr val="accent1"/>
            </a:solidFill>
            <a:ln>
              <a:noFill/>
            </a:ln>
            <a:effectLst/>
          </c:spPr>
          <c:invertIfNegative val="0"/>
          <c:cat>
            <c:strRef>
              <c:f>'M MedOnc FSAs'!$A$2:$A$5</c:f>
              <c:strCache>
                <c:ptCount val="4"/>
                <c:pt idx="0">
                  <c:v>Jan</c:v>
                </c:pt>
                <c:pt idx="1">
                  <c:v>Feb</c:v>
                </c:pt>
                <c:pt idx="2">
                  <c:v>Mar</c:v>
                </c:pt>
                <c:pt idx="3">
                  <c:v>Apr</c:v>
                </c:pt>
              </c:strCache>
            </c:strRef>
          </c:cat>
          <c:val>
            <c:numRef>
              <c:f>'M MedOnc FSAs'!$G$2:$G$5</c:f>
              <c:numCache>
                <c:formatCode>General</c:formatCode>
                <c:ptCount val="4"/>
                <c:pt idx="0">
                  <c:v>89</c:v>
                </c:pt>
                <c:pt idx="1">
                  <c:v>110</c:v>
                </c:pt>
                <c:pt idx="2">
                  <c:v>98</c:v>
                </c:pt>
                <c:pt idx="3">
                  <c:v>102</c:v>
                </c:pt>
              </c:numCache>
            </c:numRef>
          </c:val>
          <c:extLst>
            <c:ext xmlns:c16="http://schemas.microsoft.com/office/drawing/2014/chart" uri="{C3380CC4-5D6E-409C-BE32-E72D297353CC}">
              <c16:uniqueId val="{00000001-F158-4AF9-9619-3ACECDFC9F6C}"/>
            </c:ext>
          </c:extLst>
        </c:ser>
        <c:ser>
          <c:idx val="1"/>
          <c:order val="2"/>
          <c:tx>
            <c:v>2020</c:v>
          </c:tx>
          <c:spPr>
            <a:solidFill>
              <a:schemeClr val="accent2"/>
            </a:solidFill>
            <a:ln>
              <a:noFill/>
            </a:ln>
            <a:effectLst/>
          </c:spPr>
          <c:invertIfNegative val="0"/>
          <c:val>
            <c:numRef>
              <c:f>'M MedOnc FSAs'!$H$2:$H$5</c:f>
              <c:numCache>
                <c:formatCode>General</c:formatCode>
                <c:ptCount val="4"/>
                <c:pt idx="0">
                  <c:v>84</c:v>
                </c:pt>
                <c:pt idx="1">
                  <c:v>84</c:v>
                </c:pt>
                <c:pt idx="2">
                  <c:v>125</c:v>
                </c:pt>
                <c:pt idx="3">
                  <c:v>83</c:v>
                </c:pt>
              </c:numCache>
            </c:numRef>
          </c:val>
          <c:extLst>
            <c:ext xmlns:c16="http://schemas.microsoft.com/office/drawing/2014/chart" uri="{C3380CC4-5D6E-409C-BE32-E72D297353CC}">
              <c16:uniqueId val="{00000002-F158-4AF9-9619-3ACECDFC9F6C}"/>
            </c:ext>
          </c:extLst>
        </c:ser>
        <c:dLbls>
          <c:showLegendKey val="0"/>
          <c:showVal val="0"/>
          <c:showCatName val="0"/>
          <c:showSerName val="0"/>
          <c:showPercent val="0"/>
          <c:showBubbleSize val="0"/>
        </c:dLbls>
        <c:gapWidth val="219"/>
        <c:overlap val="-27"/>
        <c:axId val="419937272"/>
        <c:axId val="419937928"/>
      </c:barChart>
      <c:catAx>
        <c:axId val="419937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37928"/>
        <c:crosses val="autoZero"/>
        <c:auto val="1"/>
        <c:lblAlgn val="ctr"/>
        <c:lblOffset val="100"/>
        <c:noMultiLvlLbl val="0"/>
      </c:catAx>
      <c:valAx>
        <c:axId val="419937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Number of FSAs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37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00" b="0" i="0" u="none" strike="noStrike" kern="1200" spc="0" baseline="0">
                <a:solidFill>
                  <a:schemeClr val="tx1">
                    <a:lumMod val="65000"/>
                    <a:lumOff val="35000"/>
                  </a:schemeClr>
                </a:solidFill>
                <a:latin typeface="+mn-lt"/>
                <a:ea typeface="+mn-ea"/>
                <a:cs typeface="+mn-cs"/>
              </a:defRPr>
            </a:pPr>
            <a:r>
              <a:rPr lang="en-US" sz="1000"/>
              <a:t>Gastroscopy and colonoscopy procedures - total population</a:t>
            </a:r>
            <a:endParaRPr lang="en-NZ" sz="1000"/>
          </a:p>
        </c:rich>
      </c:tx>
      <c:overlay val="0"/>
      <c:spPr>
        <a:noFill/>
        <a:ln>
          <a:noFill/>
        </a:ln>
        <a:effectLst/>
      </c:spPr>
      <c:txPr>
        <a:bodyPr rot="0" spcFirstLastPara="1" vertOverflow="ellipsis" vert="horz" wrap="square" anchor="ctr" anchorCtr="1"/>
        <a:lstStyle/>
        <a:p>
          <a:pPr algn="ctr" rtl="0">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535987005348726"/>
          <c:y val="0.25172313460817397"/>
          <c:w val="0.78911974923060124"/>
          <c:h val="0.66697502812148479"/>
        </c:manualLayout>
      </c:layout>
      <c:barChart>
        <c:barDir val="col"/>
        <c:grouping val="clustered"/>
        <c:varyColors val="0"/>
        <c:ser>
          <c:idx val="2"/>
          <c:order val="0"/>
          <c:tx>
            <c:strRef>
              <c:f>'M Scopes'!$B$1</c:f>
              <c:strCache>
                <c:ptCount val="1"/>
                <c:pt idx="0">
                  <c:v>2018</c:v>
                </c:pt>
              </c:strCache>
            </c:strRef>
          </c:tx>
          <c:spPr>
            <a:solidFill>
              <a:schemeClr val="accent3"/>
            </a:solidFill>
            <a:ln>
              <a:noFill/>
            </a:ln>
            <a:effectLst/>
          </c:spPr>
          <c:invertIfNegative val="0"/>
          <c:val>
            <c:numRef>
              <c:f>'M Scopes'!$B$2:$B$5</c:f>
              <c:numCache>
                <c:formatCode>General</c:formatCode>
                <c:ptCount val="4"/>
                <c:pt idx="0">
                  <c:v>4578</c:v>
                </c:pt>
                <c:pt idx="1">
                  <c:v>5254</c:v>
                </c:pt>
                <c:pt idx="2">
                  <c:v>5723</c:v>
                </c:pt>
                <c:pt idx="3">
                  <c:v>5276</c:v>
                </c:pt>
              </c:numCache>
            </c:numRef>
          </c:val>
          <c:extLst>
            <c:ext xmlns:c16="http://schemas.microsoft.com/office/drawing/2014/chart" uri="{C3380CC4-5D6E-409C-BE32-E72D297353CC}">
              <c16:uniqueId val="{00000000-F624-46D2-88F1-0854328F14C2}"/>
            </c:ext>
          </c:extLst>
        </c:ser>
        <c:ser>
          <c:idx val="0"/>
          <c:order val="1"/>
          <c:tx>
            <c:strRef>
              <c:f>'M Scopes'!$C$1</c:f>
              <c:strCache>
                <c:ptCount val="1"/>
                <c:pt idx="0">
                  <c:v>2019</c:v>
                </c:pt>
              </c:strCache>
            </c:strRef>
          </c:tx>
          <c:spPr>
            <a:solidFill>
              <a:schemeClr val="accent1"/>
            </a:solidFill>
            <a:ln>
              <a:noFill/>
            </a:ln>
            <a:effectLst/>
          </c:spPr>
          <c:invertIfNegative val="0"/>
          <c:cat>
            <c:strRef>
              <c:f>'M Scopes'!$A$2:$A$5</c:f>
              <c:strCache>
                <c:ptCount val="4"/>
                <c:pt idx="0">
                  <c:v>Jan</c:v>
                </c:pt>
                <c:pt idx="1">
                  <c:v>Feb</c:v>
                </c:pt>
                <c:pt idx="2">
                  <c:v>Mar</c:v>
                </c:pt>
                <c:pt idx="3">
                  <c:v>Apr</c:v>
                </c:pt>
              </c:strCache>
            </c:strRef>
          </c:cat>
          <c:val>
            <c:numRef>
              <c:f>'M Scopes'!$C$2:$C$5</c:f>
              <c:numCache>
                <c:formatCode>General</c:formatCode>
                <c:ptCount val="4"/>
                <c:pt idx="0">
                  <c:v>5670</c:v>
                </c:pt>
                <c:pt idx="1">
                  <c:v>6062</c:v>
                </c:pt>
                <c:pt idx="2">
                  <c:v>6776</c:v>
                </c:pt>
                <c:pt idx="3">
                  <c:v>6219</c:v>
                </c:pt>
              </c:numCache>
            </c:numRef>
          </c:val>
          <c:extLst>
            <c:ext xmlns:c16="http://schemas.microsoft.com/office/drawing/2014/chart" uri="{C3380CC4-5D6E-409C-BE32-E72D297353CC}">
              <c16:uniqueId val="{00000001-F624-46D2-88F1-0854328F14C2}"/>
            </c:ext>
          </c:extLst>
        </c:ser>
        <c:ser>
          <c:idx val="1"/>
          <c:order val="2"/>
          <c:tx>
            <c:strRef>
              <c:f>'M Scopes'!$D$1</c:f>
              <c:strCache>
                <c:ptCount val="1"/>
                <c:pt idx="0">
                  <c:v>2020</c:v>
                </c:pt>
              </c:strCache>
            </c:strRef>
          </c:tx>
          <c:spPr>
            <a:solidFill>
              <a:schemeClr val="accent2"/>
            </a:solidFill>
            <a:ln>
              <a:noFill/>
            </a:ln>
            <a:effectLst/>
          </c:spPr>
          <c:invertIfNegative val="0"/>
          <c:val>
            <c:numRef>
              <c:f>'M Scopes'!$D$2:$D$5</c:f>
              <c:numCache>
                <c:formatCode>General</c:formatCode>
                <c:ptCount val="4"/>
                <c:pt idx="0">
                  <c:v>6165</c:v>
                </c:pt>
                <c:pt idx="1">
                  <c:v>6476</c:v>
                </c:pt>
                <c:pt idx="2">
                  <c:v>5898</c:v>
                </c:pt>
                <c:pt idx="3">
                  <c:v>1315</c:v>
                </c:pt>
              </c:numCache>
            </c:numRef>
          </c:val>
          <c:extLst>
            <c:ext xmlns:c16="http://schemas.microsoft.com/office/drawing/2014/chart" uri="{C3380CC4-5D6E-409C-BE32-E72D297353CC}">
              <c16:uniqueId val="{00000002-F624-46D2-88F1-0854328F14C2}"/>
            </c:ext>
          </c:extLst>
        </c:ser>
        <c:dLbls>
          <c:showLegendKey val="0"/>
          <c:showVal val="0"/>
          <c:showCatName val="0"/>
          <c:showSerName val="0"/>
          <c:showPercent val="0"/>
          <c:showBubbleSize val="0"/>
        </c:dLbls>
        <c:gapWidth val="219"/>
        <c:overlap val="-27"/>
        <c:axId val="419937272"/>
        <c:axId val="419937928"/>
      </c:barChart>
      <c:catAx>
        <c:axId val="419937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37928"/>
        <c:crosses val="autoZero"/>
        <c:auto val="1"/>
        <c:lblAlgn val="ctr"/>
        <c:lblOffset val="100"/>
        <c:noMultiLvlLbl val="0"/>
      </c:catAx>
      <c:valAx>
        <c:axId val="419937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a:t>Number of procedures</a:t>
                </a:r>
              </a:p>
            </c:rich>
          </c:tx>
          <c:layout>
            <c:manualLayout>
              <c:xMode val="edge"/>
              <c:yMode val="edge"/>
              <c:x val="2.4829298572315334E-2"/>
              <c:y val="0.3987345452578410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37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Cumulative number of medical oncology FSAs - total population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597803779200498"/>
          <c:y val="0.28539769485336069"/>
          <c:w val="0.77148837703698236"/>
          <c:h val="0.57882079957396626"/>
        </c:manualLayout>
      </c:layout>
      <c:scatterChart>
        <c:scatterStyle val="smoothMarker"/>
        <c:varyColors val="0"/>
        <c:ser>
          <c:idx val="2"/>
          <c:order val="0"/>
          <c:tx>
            <c:strRef>
              <c:f>'W MedOnc FSA'!$L$2</c:f>
              <c:strCache>
                <c:ptCount val="1"/>
                <c:pt idx="0">
                  <c:v>2018</c:v>
                </c:pt>
              </c:strCache>
            </c:strRef>
          </c:tx>
          <c:spPr>
            <a:ln w="19050" cap="rnd">
              <a:solidFill>
                <a:schemeClr val="accent3"/>
              </a:solidFill>
              <a:round/>
            </a:ln>
            <a:effectLst/>
          </c:spPr>
          <c:marker>
            <c:symbol val="none"/>
          </c:marker>
          <c:xVal>
            <c:numRef>
              <c:f>'W MedOnc FSA'!$A$3:$A$28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'W MedOnc FSA'!$L$3:$L$28</c:f>
              <c:numCache>
                <c:formatCode>General</c:formatCode>
                <c:ptCount val="26"/>
                <c:pt idx="0">
                  <c:v>107</c:v>
                </c:pt>
                <c:pt idx="1">
                  <c:v>254</c:v>
                </c:pt>
                <c:pt idx="2">
                  <c:v>430</c:v>
                </c:pt>
                <c:pt idx="3">
                  <c:v>586</c:v>
                </c:pt>
                <c:pt idx="4">
                  <c:v>732</c:v>
                </c:pt>
                <c:pt idx="5">
                  <c:v>880</c:v>
                </c:pt>
                <c:pt idx="6">
                  <c:v>1033</c:v>
                </c:pt>
                <c:pt idx="7">
                  <c:v>1227</c:v>
                </c:pt>
                <c:pt idx="8">
                  <c:v>1405</c:v>
                </c:pt>
                <c:pt idx="9">
                  <c:v>1579</c:v>
                </c:pt>
                <c:pt idx="10">
                  <c:v>1756</c:v>
                </c:pt>
                <c:pt idx="11">
                  <c:v>1950</c:v>
                </c:pt>
                <c:pt idx="12">
                  <c:v>2096</c:v>
                </c:pt>
                <c:pt idx="13">
                  <c:v>2217</c:v>
                </c:pt>
                <c:pt idx="14">
                  <c:v>2421</c:v>
                </c:pt>
                <c:pt idx="15">
                  <c:v>2581</c:v>
                </c:pt>
                <c:pt idx="16">
                  <c:v>2698</c:v>
                </c:pt>
                <c:pt idx="17">
                  <c:v>2886</c:v>
                </c:pt>
                <c:pt idx="18">
                  <c:v>3084</c:v>
                </c:pt>
                <c:pt idx="19">
                  <c:v>3280</c:v>
                </c:pt>
                <c:pt idx="20">
                  <c:v>3460</c:v>
                </c:pt>
                <c:pt idx="21">
                  <c:v>3610</c:v>
                </c:pt>
                <c:pt idx="22">
                  <c:v>3717</c:v>
                </c:pt>
                <c:pt idx="23">
                  <c:v>3908</c:v>
                </c:pt>
                <c:pt idx="24">
                  <c:v>4101</c:v>
                </c:pt>
                <c:pt idx="25">
                  <c:v>4279</c:v>
                </c:pt>
              </c:numCache>
            </c:numRef>
          </c:yVal>
          <c:smooth val="1"/>
          <c:extLst>
            <c:ext xmlns:c16="http://schemas.microsoft.com/office/drawing/2014/chart" uri="{C3380CC4-5D6E-409C-BE32-E72D297353CC}">
              <c16:uniqueId val="{00000000-74F2-4654-BD2E-7396C15410D9}"/>
            </c:ext>
          </c:extLst>
        </c:ser>
        <c:ser>
          <c:idx val="0"/>
          <c:order val="1"/>
          <c:tx>
            <c:strRef>
              <c:f>'W MedOnc FSA'!$M$2</c:f>
              <c:strCache>
                <c:ptCount val="1"/>
                <c:pt idx="0">
                  <c:v>2019</c:v>
                </c:pt>
              </c:strCache>
            </c:strRef>
          </c:tx>
          <c:spPr>
            <a:ln w="19050" cap="rnd">
              <a:solidFill>
                <a:schemeClr val="accent1"/>
              </a:solidFill>
              <a:round/>
            </a:ln>
            <a:effectLst/>
          </c:spPr>
          <c:marker>
            <c:symbol val="none"/>
          </c:marker>
          <c:xVal>
            <c:numRef>
              <c:f>'W MedOnc FSA'!$A$3:$A$28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'W MedOnc FSA'!$M$3:$M$28</c:f>
              <c:numCache>
                <c:formatCode>General</c:formatCode>
                <c:ptCount val="26"/>
                <c:pt idx="0">
                  <c:v>97</c:v>
                </c:pt>
                <c:pt idx="1">
                  <c:v>283</c:v>
                </c:pt>
                <c:pt idx="2">
                  <c:v>459</c:v>
                </c:pt>
                <c:pt idx="3">
                  <c:v>622</c:v>
                </c:pt>
                <c:pt idx="4">
                  <c:v>790</c:v>
                </c:pt>
                <c:pt idx="5">
                  <c:v>943</c:v>
                </c:pt>
                <c:pt idx="6">
                  <c:v>1111</c:v>
                </c:pt>
                <c:pt idx="7">
                  <c:v>1331</c:v>
                </c:pt>
                <c:pt idx="8">
                  <c:v>1507</c:v>
                </c:pt>
                <c:pt idx="9">
                  <c:v>1697</c:v>
                </c:pt>
                <c:pt idx="10">
                  <c:v>1863</c:v>
                </c:pt>
                <c:pt idx="11">
                  <c:v>2020</c:v>
                </c:pt>
                <c:pt idx="12">
                  <c:v>2220</c:v>
                </c:pt>
                <c:pt idx="13">
                  <c:v>2430</c:v>
                </c:pt>
                <c:pt idx="14">
                  <c:v>2644</c:v>
                </c:pt>
                <c:pt idx="15">
                  <c:v>2742</c:v>
                </c:pt>
                <c:pt idx="16">
                  <c:v>2842</c:v>
                </c:pt>
                <c:pt idx="17">
                  <c:v>3000</c:v>
                </c:pt>
                <c:pt idx="18">
                  <c:v>3230</c:v>
                </c:pt>
                <c:pt idx="19">
                  <c:v>3445</c:v>
                </c:pt>
                <c:pt idx="20">
                  <c:v>3641</c:v>
                </c:pt>
                <c:pt idx="21">
                  <c:v>3769</c:v>
                </c:pt>
                <c:pt idx="22">
                  <c:v>3945</c:v>
                </c:pt>
                <c:pt idx="23">
                  <c:v>4126</c:v>
                </c:pt>
                <c:pt idx="24">
                  <c:v>4341</c:v>
                </c:pt>
                <c:pt idx="25">
                  <c:v>4520</c:v>
                </c:pt>
              </c:numCache>
            </c:numRef>
          </c:yVal>
          <c:smooth val="1"/>
          <c:extLst>
            <c:ext xmlns:c16="http://schemas.microsoft.com/office/drawing/2014/chart" uri="{C3380CC4-5D6E-409C-BE32-E72D297353CC}">
              <c16:uniqueId val="{00000001-74F2-4654-BD2E-7396C15410D9}"/>
            </c:ext>
          </c:extLst>
        </c:ser>
        <c:ser>
          <c:idx val="1"/>
          <c:order val="2"/>
          <c:tx>
            <c:strRef>
              <c:f>'W MedOnc FSA'!$N$2</c:f>
              <c:strCache>
                <c:ptCount val="1"/>
                <c:pt idx="0">
                  <c:v>2020</c:v>
                </c:pt>
              </c:strCache>
            </c:strRef>
          </c:tx>
          <c:spPr>
            <a:ln w="19050" cap="rnd">
              <a:solidFill>
                <a:schemeClr val="accent2"/>
              </a:solidFill>
              <a:round/>
            </a:ln>
            <a:effectLst/>
          </c:spPr>
          <c:marker>
            <c:symbol val="none"/>
          </c:marker>
          <c:xVal>
            <c:numRef>
              <c:f>'W MedOnc FSA'!$A$3:$A$28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'W MedOnc FSA'!$N$3:$N$19</c:f>
              <c:numCache>
                <c:formatCode>General</c:formatCode>
                <c:ptCount val="17"/>
                <c:pt idx="0">
                  <c:v>84</c:v>
                </c:pt>
                <c:pt idx="1">
                  <c:v>259</c:v>
                </c:pt>
                <c:pt idx="2">
                  <c:v>437</c:v>
                </c:pt>
                <c:pt idx="3">
                  <c:v>592</c:v>
                </c:pt>
                <c:pt idx="4">
                  <c:v>779</c:v>
                </c:pt>
                <c:pt idx="5">
                  <c:v>911</c:v>
                </c:pt>
                <c:pt idx="6">
                  <c:v>1096</c:v>
                </c:pt>
                <c:pt idx="7">
                  <c:v>1278</c:v>
                </c:pt>
                <c:pt idx="8">
                  <c:v>1486</c:v>
                </c:pt>
                <c:pt idx="9">
                  <c:v>1656</c:v>
                </c:pt>
                <c:pt idx="10">
                  <c:v>1837</c:v>
                </c:pt>
                <c:pt idx="11">
                  <c:v>2046</c:v>
                </c:pt>
                <c:pt idx="12">
                  <c:v>2217</c:v>
                </c:pt>
                <c:pt idx="13">
                  <c:v>2428</c:v>
                </c:pt>
                <c:pt idx="14">
                  <c:v>2553</c:v>
                </c:pt>
                <c:pt idx="15">
                  <c:v>2742</c:v>
                </c:pt>
                <c:pt idx="16">
                  <c:v>2886</c:v>
                </c:pt>
              </c:numCache>
            </c:numRef>
          </c:yVal>
          <c:smooth val="1"/>
          <c:extLst>
            <c:ext xmlns:c16="http://schemas.microsoft.com/office/drawing/2014/chart" uri="{C3380CC4-5D6E-409C-BE32-E72D297353CC}">
              <c16:uniqueId val="{00000002-74F2-4654-BD2E-7396C15410D9}"/>
            </c:ext>
          </c:extLst>
        </c:ser>
        <c:ser>
          <c:idx val="3"/>
          <c:order val="3"/>
          <c:tx>
            <c:v>Level 4</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74F2-4654-BD2E-7396C15410D9}"/>
                </c:ext>
              </c:extLst>
            </c:dLbl>
            <c:dLbl>
              <c:idx val="1"/>
              <c:layout>
                <c:manualLayout>
                  <c:x val="-8.2326064382139144E-2"/>
                  <c:y val="-3.3248887367339955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74F2-4654-BD2E-7396C15410D9}"/>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'W MedOnc FSA'!$V$4:$V$5</c:f>
              <c:numCache>
                <c:formatCode>General</c:formatCode>
                <c:ptCount val="2"/>
                <c:pt idx="0">
                  <c:v>12</c:v>
                </c:pt>
                <c:pt idx="1">
                  <c:v>12</c:v>
                </c:pt>
              </c:numCache>
            </c:numRef>
          </c:xVal>
          <c:yVal>
            <c:numRef>
              <c:f>'W MedOnc FSA'!$W$4:$W$5</c:f>
              <c:numCache>
                <c:formatCode>General</c:formatCode>
                <c:ptCount val="2"/>
                <c:pt idx="0">
                  <c:v>0</c:v>
                </c:pt>
                <c:pt idx="1">
                  <c:v>4520</c:v>
                </c:pt>
              </c:numCache>
            </c:numRef>
          </c:yVal>
          <c:smooth val="1"/>
          <c:extLst>
            <c:ext xmlns:c16="http://schemas.microsoft.com/office/drawing/2014/chart" uri="{C3380CC4-5D6E-409C-BE32-E72D297353CC}">
              <c16:uniqueId val="{00000005-74F2-4654-BD2E-7396C15410D9}"/>
            </c:ext>
          </c:extLst>
        </c:ser>
        <c:ser>
          <c:idx val="4"/>
          <c:order val="4"/>
          <c:tx>
            <c:v>Level 3</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6-74F2-4654-BD2E-7396C15410D9}"/>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'W MedOnc FSA'!$V$7:$V$8</c:f>
              <c:numCache>
                <c:formatCode>General</c:formatCode>
                <c:ptCount val="2"/>
                <c:pt idx="0">
                  <c:v>17</c:v>
                </c:pt>
                <c:pt idx="1">
                  <c:v>17</c:v>
                </c:pt>
              </c:numCache>
            </c:numRef>
          </c:xVal>
          <c:yVal>
            <c:numRef>
              <c:f>'W MedOnc FSA'!$W$7:$W$8</c:f>
              <c:numCache>
                <c:formatCode>General</c:formatCode>
                <c:ptCount val="2"/>
                <c:pt idx="0">
                  <c:v>0</c:v>
                </c:pt>
                <c:pt idx="1">
                  <c:v>4068</c:v>
                </c:pt>
              </c:numCache>
            </c:numRef>
          </c:yVal>
          <c:smooth val="1"/>
          <c:extLst>
            <c:ext xmlns:c16="http://schemas.microsoft.com/office/drawing/2014/chart" uri="{C3380CC4-5D6E-409C-BE32-E72D297353CC}">
              <c16:uniqueId val="{00000007-74F2-4654-BD2E-7396C15410D9}"/>
            </c:ext>
          </c:extLst>
        </c:ser>
        <c:dLbls>
          <c:showLegendKey val="0"/>
          <c:showVal val="0"/>
          <c:showCatName val="0"/>
          <c:showSerName val="0"/>
          <c:showPercent val="0"/>
          <c:showBubbleSize val="0"/>
        </c:dLbls>
        <c:axId val="419949736"/>
        <c:axId val="419954000"/>
      </c:scatterChart>
      <c:valAx>
        <c:axId val="419949736"/>
        <c:scaling>
          <c:orientation val="minMax"/>
          <c:max val="27"/>
          <c:min val="1"/>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a:t>Week</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54000"/>
        <c:crosses val="autoZero"/>
        <c:crossBetween val="midCat"/>
        <c:majorUnit val="2"/>
      </c:valAx>
      <c:valAx>
        <c:axId val="419954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Cumulative number of FSAs</a:t>
                </a:r>
              </a:p>
            </c:rich>
          </c:tx>
          <c:layout>
            <c:manualLayout>
              <c:xMode val="edge"/>
              <c:yMode val="edge"/>
              <c:x val="1.2461059190031152E-2"/>
              <c:y val="0.3312933165962950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midCat"/>
      </c:valAx>
      <c:spPr>
        <a:noFill/>
        <a:ln>
          <a:noFill/>
        </a:ln>
        <a:effectLst/>
      </c:spPr>
    </c:plotArea>
    <c:legend>
      <c:legendPos val="t"/>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Cumulative number of medical oncology FSAs - Māori</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953982387715557"/>
          <c:y val="0.31921411997413368"/>
          <c:w val="0.77792659095183192"/>
          <c:h val="0.52568070295560876"/>
        </c:manualLayout>
      </c:layout>
      <c:scatterChart>
        <c:scatterStyle val="smoothMarker"/>
        <c:varyColors val="0"/>
        <c:ser>
          <c:idx val="2"/>
          <c:order val="0"/>
          <c:tx>
            <c:v>2018</c:v>
          </c:tx>
          <c:spPr>
            <a:ln w="19050" cap="rnd">
              <a:solidFill>
                <a:schemeClr val="accent3"/>
              </a:solidFill>
              <a:round/>
            </a:ln>
            <a:effectLst/>
          </c:spPr>
          <c:marker>
            <c:symbol val="none"/>
          </c:marker>
          <c:xVal>
            <c:numRef>
              <c:f>'W MedOnc FSA'!$A$3:$A$28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'W MedOnc FSA'!$O$3:$O$28</c:f>
              <c:numCache>
                <c:formatCode>General</c:formatCode>
                <c:ptCount val="26"/>
                <c:pt idx="0">
                  <c:v>9</c:v>
                </c:pt>
                <c:pt idx="1">
                  <c:v>28</c:v>
                </c:pt>
                <c:pt idx="2">
                  <c:v>53</c:v>
                </c:pt>
                <c:pt idx="3">
                  <c:v>69</c:v>
                </c:pt>
                <c:pt idx="4">
                  <c:v>95</c:v>
                </c:pt>
                <c:pt idx="5">
                  <c:v>102</c:v>
                </c:pt>
                <c:pt idx="6">
                  <c:v>124</c:v>
                </c:pt>
                <c:pt idx="7">
                  <c:v>150</c:v>
                </c:pt>
                <c:pt idx="8">
                  <c:v>174</c:v>
                </c:pt>
                <c:pt idx="9">
                  <c:v>200</c:v>
                </c:pt>
                <c:pt idx="10">
                  <c:v>221</c:v>
                </c:pt>
                <c:pt idx="11">
                  <c:v>247</c:v>
                </c:pt>
                <c:pt idx="12">
                  <c:v>262</c:v>
                </c:pt>
                <c:pt idx="13">
                  <c:v>274</c:v>
                </c:pt>
                <c:pt idx="14">
                  <c:v>308</c:v>
                </c:pt>
                <c:pt idx="15">
                  <c:v>329</c:v>
                </c:pt>
                <c:pt idx="16">
                  <c:v>342</c:v>
                </c:pt>
                <c:pt idx="17">
                  <c:v>359</c:v>
                </c:pt>
                <c:pt idx="18">
                  <c:v>384</c:v>
                </c:pt>
                <c:pt idx="19">
                  <c:v>413</c:v>
                </c:pt>
                <c:pt idx="20">
                  <c:v>433</c:v>
                </c:pt>
                <c:pt idx="21">
                  <c:v>453</c:v>
                </c:pt>
                <c:pt idx="22">
                  <c:v>469</c:v>
                </c:pt>
                <c:pt idx="23">
                  <c:v>504</c:v>
                </c:pt>
                <c:pt idx="24">
                  <c:v>536</c:v>
                </c:pt>
                <c:pt idx="25">
                  <c:v>566</c:v>
                </c:pt>
              </c:numCache>
            </c:numRef>
          </c:yVal>
          <c:smooth val="1"/>
          <c:extLst>
            <c:ext xmlns:c16="http://schemas.microsoft.com/office/drawing/2014/chart" uri="{C3380CC4-5D6E-409C-BE32-E72D297353CC}">
              <c16:uniqueId val="{00000000-ED08-47AD-9982-BC8B235A99F9}"/>
            </c:ext>
          </c:extLst>
        </c:ser>
        <c:ser>
          <c:idx val="0"/>
          <c:order val="1"/>
          <c:tx>
            <c:v>2019</c:v>
          </c:tx>
          <c:spPr>
            <a:ln w="19050" cap="rnd">
              <a:solidFill>
                <a:schemeClr val="accent1"/>
              </a:solidFill>
              <a:round/>
            </a:ln>
            <a:effectLst/>
          </c:spPr>
          <c:marker>
            <c:symbol val="none"/>
          </c:marker>
          <c:xVal>
            <c:numRef>
              <c:f>'W MedOnc FSA'!$A$3:$A$28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'W MedOnc FSA'!$P$3:$P$28</c:f>
              <c:numCache>
                <c:formatCode>General</c:formatCode>
                <c:ptCount val="26"/>
                <c:pt idx="0">
                  <c:v>9</c:v>
                </c:pt>
                <c:pt idx="1">
                  <c:v>35</c:v>
                </c:pt>
                <c:pt idx="2">
                  <c:v>59</c:v>
                </c:pt>
                <c:pt idx="3">
                  <c:v>82</c:v>
                </c:pt>
                <c:pt idx="4">
                  <c:v>101</c:v>
                </c:pt>
                <c:pt idx="5">
                  <c:v>126</c:v>
                </c:pt>
                <c:pt idx="6">
                  <c:v>153</c:v>
                </c:pt>
                <c:pt idx="7">
                  <c:v>186</c:v>
                </c:pt>
                <c:pt idx="8">
                  <c:v>210</c:v>
                </c:pt>
                <c:pt idx="9">
                  <c:v>244</c:v>
                </c:pt>
                <c:pt idx="10">
                  <c:v>252</c:v>
                </c:pt>
                <c:pt idx="11">
                  <c:v>280</c:v>
                </c:pt>
                <c:pt idx="12">
                  <c:v>305</c:v>
                </c:pt>
                <c:pt idx="13">
                  <c:v>337</c:v>
                </c:pt>
                <c:pt idx="14">
                  <c:v>371</c:v>
                </c:pt>
                <c:pt idx="15">
                  <c:v>380</c:v>
                </c:pt>
                <c:pt idx="16">
                  <c:v>396</c:v>
                </c:pt>
                <c:pt idx="17">
                  <c:v>415</c:v>
                </c:pt>
                <c:pt idx="18">
                  <c:v>445</c:v>
                </c:pt>
                <c:pt idx="19">
                  <c:v>470</c:v>
                </c:pt>
                <c:pt idx="20">
                  <c:v>497</c:v>
                </c:pt>
                <c:pt idx="21">
                  <c:v>516</c:v>
                </c:pt>
                <c:pt idx="22">
                  <c:v>541</c:v>
                </c:pt>
                <c:pt idx="23">
                  <c:v>569</c:v>
                </c:pt>
                <c:pt idx="24">
                  <c:v>598</c:v>
                </c:pt>
                <c:pt idx="25">
                  <c:v>627</c:v>
                </c:pt>
              </c:numCache>
            </c:numRef>
          </c:yVal>
          <c:smooth val="1"/>
          <c:extLst>
            <c:ext xmlns:c16="http://schemas.microsoft.com/office/drawing/2014/chart" uri="{C3380CC4-5D6E-409C-BE32-E72D297353CC}">
              <c16:uniqueId val="{00000001-ED08-47AD-9982-BC8B235A99F9}"/>
            </c:ext>
          </c:extLst>
        </c:ser>
        <c:ser>
          <c:idx val="1"/>
          <c:order val="2"/>
          <c:tx>
            <c:v>2020</c:v>
          </c:tx>
          <c:spPr>
            <a:ln w="19050" cap="rnd">
              <a:solidFill>
                <a:schemeClr val="accent2"/>
              </a:solidFill>
              <a:round/>
            </a:ln>
            <a:effectLst/>
          </c:spPr>
          <c:marker>
            <c:symbol val="none"/>
          </c:marker>
          <c:xVal>
            <c:numRef>
              <c:f>'W MedOnc FSA'!$A$3:$A$28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'W MedOnc FSA'!$Q$3:$Q$19</c:f>
              <c:numCache>
                <c:formatCode>General</c:formatCode>
                <c:ptCount val="17"/>
                <c:pt idx="0">
                  <c:v>14</c:v>
                </c:pt>
                <c:pt idx="1">
                  <c:v>33</c:v>
                </c:pt>
                <c:pt idx="2">
                  <c:v>54</c:v>
                </c:pt>
                <c:pt idx="3">
                  <c:v>74</c:v>
                </c:pt>
                <c:pt idx="4">
                  <c:v>97</c:v>
                </c:pt>
                <c:pt idx="5">
                  <c:v>114</c:v>
                </c:pt>
                <c:pt idx="6">
                  <c:v>139</c:v>
                </c:pt>
                <c:pt idx="7">
                  <c:v>156</c:v>
                </c:pt>
                <c:pt idx="8">
                  <c:v>179</c:v>
                </c:pt>
                <c:pt idx="9">
                  <c:v>213</c:v>
                </c:pt>
                <c:pt idx="10">
                  <c:v>239</c:v>
                </c:pt>
                <c:pt idx="11">
                  <c:v>267</c:v>
                </c:pt>
                <c:pt idx="12">
                  <c:v>293</c:v>
                </c:pt>
                <c:pt idx="13">
                  <c:v>314</c:v>
                </c:pt>
                <c:pt idx="14">
                  <c:v>334</c:v>
                </c:pt>
                <c:pt idx="15">
                  <c:v>351</c:v>
                </c:pt>
                <c:pt idx="16">
                  <c:v>366</c:v>
                </c:pt>
              </c:numCache>
            </c:numRef>
          </c:yVal>
          <c:smooth val="1"/>
          <c:extLst>
            <c:ext xmlns:c16="http://schemas.microsoft.com/office/drawing/2014/chart" uri="{C3380CC4-5D6E-409C-BE32-E72D297353CC}">
              <c16:uniqueId val="{00000002-ED08-47AD-9982-BC8B235A99F9}"/>
            </c:ext>
          </c:extLst>
        </c:ser>
        <c:ser>
          <c:idx val="3"/>
          <c:order val="3"/>
          <c:tx>
            <c:v>Level 4</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ED08-47AD-9982-BC8B235A99F9}"/>
                </c:ext>
              </c:extLst>
            </c:dLbl>
            <c:dLbl>
              <c:idx val="1"/>
              <c:layout>
                <c:manualLayout>
                  <c:x val="-8.2326064382139144E-2"/>
                  <c:y val="-3.3248887367339955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ED08-47AD-9982-BC8B235A99F9}"/>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'W MedOnc FSA'!$V$4:$V$5</c:f>
              <c:numCache>
                <c:formatCode>General</c:formatCode>
                <c:ptCount val="2"/>
                <c:pt idx="0">
                  <c:v>12</c:v>
                </c:pt>
                <c:pt idx="1">
                  <c:v>12</c:v>
                </c:pt>
              </c:numCache>
            </c:numRef>
          </c:xVal>
          <c:yVal>
            <c:numRef>
              <c:f>'W MedOnc FSA'!$X$4:$X$5</c:f>
              <c:numCache>
                <c:formatCode>General</c:formatCode>
                <c:ptCount val="2"/>
                <c:pt idx="0">
                  <c:v>0</c:v>
                </c:pt>
                <c:pt idx="1">
                  <c:v>627</c:v>
                </c:pt>
              </c:numCache>
            </c:numRef>
          </c:yVal>
          <c:smooth val="1"/>
          <c:extLst>
            <c:ext xmlns:c16="http://schemas.microsoft.com/office/drawing/2014/chart" uri="{C3380CC4-5D6E-409C-BE32-E72D297353CC}">
              <c16:uniqueId val="{00000005-ED08-47AD-9982-BC8B235A99F9}"/>
            </c:ext>
          </c:extLst>
        </c:ser>
        <c:ser>
          <c:idx val="4"/>
          <c:order val="4"/>
          <c:tx>
            <c:v>Level 3</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6-ED08-47AD-9982-BC8B235A99F9}"/>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'W MedOnc FSA'!$V$7:$V$8</c:f>
              <c:numCache>
                <c:formatCode>General</c:formatCode>
                <c:ptCount val="2"/>
                <c:pt idx="0">
                  <c:v>17</c:v>
                </c:pt>
                <c:pt idx="1">
                  <c:v>17</c:v>
                </c:pt>
              </c:numCache>
            </c:numRef>
          </c:xVal>
          <c:yVal>
            <c:numRef>
              <c:f>'W MedOnc FSA'!$X$7:$X$8</c:f>
              <c:numCache>
                <c:formatCode>General</c:formatCode>
                <c:ptCount val="2"/>
                <c:pt idx="0">
                  <c:v>0</c:v>
                </c:pt>
                <c:pt idx="1">
                  <c:v>564.30000000000007</c:v>
                </c:pt>
              </c:numCache>
            </c:numRef>
          </c:yVal>
          <c:smooth val="1"/>
          <c:extLst>
            <c:ext xmlns:c16="http://schemas.microsoft.com/office/drawing/2014/chart" uri="{C3380CC4-5D6E-409C-BE32-E72D297353CC}">
              <c16:uniqueId val="{00000007-ED08-47AD-9982-BC8B235A99F9}"/>
            </c:ext>
          </c:extLst>
        </c:ser>
        <c:dLbls>
          <c:showLegendKey val="0"/>
          <c:showVal val="0"/>
          <c:showCatName val="0"/>
          <c:showSerName val="0"/>
          <c:showPercent val="0"/>
          <c:showBubbleSize val="0"/>
        </c:dLbls>
        <c:axId val="419949736"/>
        <c:axId val="419954000"/>
      </c:scatterChart>
      <c:valAx>
        <c:axId val="419949736"/>
        <c:scaling>
          <c:orientation val="minMax"/>
          <c:max val="27"/>
          <c:min val="1"/>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a:t>Week</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54000"/>
        <c:crosses val="autoZero"/>
        <c:crossBetween val="midCat"/>
        <c:majorUnit val="2"/>
      </c:valAx>
      <c:valAx>
        <c:axId val="419954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Cumulative number of FSAs</a:t>
                </a:r>
              </a:p>
            </c:rich>
          </c:tx>
          <c:layout>
            <c:manualLayout>
              <c:xMode val="edge"/>
              <c:yMode val="edge"/>
              <c:x val="2.4922118380062305E-2"/>
              <c:y val="0.3216314808475027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midCat"/>
      </c:valAx>
      <c:spPr>
        <a:noFill/>
        <a:ln>
          <a:noFill/>
        </a:ln>
        <a:effectLst/>
      </c:spPr>
    </c:plotArea>
    <c:legend>
      <c:legendPos val="t"/>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100" b="0" i="0" u="none" strike="noStrike" kern="1200" spc="0" baseline="0">
                <a:solidFill>
                  <a:schemeClr val="tx1">
                    <a:lumMod val="65000"/>
                    <a:lumOff val="35000"/>
                  </a:schemeClr>
                </a:solidFill>
                <a:latin typeface="+mn-lt"/>
                <a:ea typeface="+mn-ea"/>
                <a:cs typeface="+mn-cs"/>
              </a:defRPr>
            </a:pPr>
            <a:r>
              <a:rPr lang="en-NZ" sz="1100"/>
              <a:t>IV chemotherapy attendances - total population</a:t>
            </a:r>
          </a:p>
        </c:rich>
      </c:tx>
      <c:layout>
        <c:manualLayout>
          <c:xMode val="edge"/>
          <c:yMode val="edge"/>
          <c:x val="0.14698402924260093"/>
          <c:y val="3.2295271049596307E-2"/>
        </c:manualLayout>
      </c:layout>
      <c:overlay val="0"/>
      <c:spPr>
        <a:noFill/>
        <a:ln>
          <a:noFill/>
        </a:ln>
        <a:effectLst/>
      </c:spPr>
      <c:txPr>
        <a:bodyPr rot="0" spcFirstLastPara="1" vertOverflow="ellipsis" vert="horz" wrap="square" anchor="ctr" anchorCtr="1"/>
        <a:lstStyle/>
        <a:p>
          <a:pPr algn="ctr" rtl="0">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0"/>
          <c:tx>
            <c:strRef>
              <c:f>'M IV Chemo'!$B$1</c:f>
              <c:strCache>
                <c:ptCount val="1"/>
                <c:pt idx="0">
                  <c:v>2018</c:v>
                </c:pt>
              </c:strCache>
            </c:strRef>
          </c:tx>
          <c:spPr>
            <a:solidFill>
              <a:schemeClr val="accent3"/>
            </a:solidFill>
            <a:ln>
              <a:noFill/>
            </a:ln>
            <a:effectLst/>
          </c:spPr>
          <c:invertIfNegative val="0"/>
          <c:val>
            <c:numRef>
              <c:f>'M IV Chemo'!$B$2:$B$5</c:f>
              <c:numCache>
                <c:formatCode>General</c:formatCode>
                <c:ptCount val="4"/>
                <c:pt idx="0">
                  <c:v>5389</c:v>
                </c:pt>
                <c:pt idx="1">
                  <c:v>4868</c:v>
                </c:pt>
                <c:pt idx="2">
                  <c:v>5303</c:v>
                </c:pt>
                <c:pt idx="3">
                  <c:v>5111</c:v>
                </c:pt>
              </c:numCache>
            </c:numRef>
          </c:val>
          <c:extLst>
            <c:ext xmlns:c16="http://schemas.microsoft.com/office/drawing/2014/chart" uri="{C3380CC4-5D6E-409C-BE32-E72D297353CC}">
              <c16:uniqueId val="{00000000-9F42-415D-9A80-7F3DAA331845}"/>
            </c:ext>
          </c:extLst>
        </c:ser>
        <c:ser>
          <c:idx val="0"/>
          <c:order val="1"/>
          <c:tx>
            <c:strRef>
              <c:f>'M IV Chemo'!$C$1</c:f>
              <c:strCache>
                <c:ptCount val="1"/>
                <c:pt idx="0">
                  <c:v>2019</c:v>
                </c:pt>
              </c:strCache>
            </c:strRef>
          </c:tx>
          <c:spPr>
            <a:solidFill>
              <a:schemeClr val="accent1"/>
            </a:solidFill>
            <a:ln>
              <a:noFill/>
            </a:ln>
            <a:effectLst/>
          </c:spPr>
          <c:invertIfNegative val="0"/>
          <c:cat>
            <c:strRef>
              <c:f>'M IV Chemo'!$A$2:$A$5</c:f>
              <c:strCache>
                <c:ptCount val="4"/>
                <c:pt idx="0">
                  <c:v>Jan</c:v>
                </c:pt>
                <c:pt idx="1">
                  <c:v>Feb</c:v>
                </c:pt>
                <c:pt idx="2">
                  <c:v>Mar</c:v>
                </c:pt>
                <c:pt idx="3">
                  <c:v>Apr</c:v>
                </c:pt>
              </c:strCache>
            </c:strRef>
          </c:cat>
          <c:val>
            <c:numRef>
              <c:f>'M IV Chemo'!$C$2:$C$5</c:f>
              <c:numCache>
                <c:formatCode>General</c:formatCode>
                <c:ptCount val="4"/>
                <c:pt idx="0">
                  <c:v>5849</c:v>
                </c:pt>
                <c:pt idx="1">
                  <c:v>5233</c:v>
                </c:pt>
                <c:pt idx="2">
                  <c:v>5566</c:v>
                </c:pt>
                <c:pt idx="3">
                  <c:v>5707</c:v>
                </c:pt>
              </c:numCache>
            </c:numRef>
          </c:val>
          <c:extLst>
            <c:ext xmlns:c16="http://schemas.microsoft.com/office/drawing/2014/chart" uri="{C3380CC4-5D6E-409C-BE32-E72D297353CC}">
              <c16:uniqueId val="{00000001-9F42-415D-9A80-7F3DAA331845}"/>
            </c:ext>
          </c:extLst>
        </c:ser>
        <c:ser>
          <c:idx val="1"/>
          <c:order val="2"/>
          <c:tx>
            <c:strRef>
              <c:f>'M IV Chemo'!$D$1</c:f>
              <c:strCache>
                <c:ptCount val="1"/>
                <c:pt idx="0">
                  <c:v>2020</c:v>
                </c:pt>
              </c:strCache>
            </c:strRef>
          </c:tx>
          <c:spPr>
            <a:solidFill>
              <a:schemeClr val="accent2"/>
            </a:solidFill>
            <a:ln>
              <a:noFill/>
            </a:ln>
            <a:effectLst/>
          </c:spPr>
          <c:invertIfNegative val="0"/>
          <c:val>
            <c:numRef>
              <c:f>'M IV Chemo'!$D$2:$D$5</c:f>
              <c:numCache>
                <c:formatCode>General</c:formatCode>
                <c:ptCount val="4"/>
                <c:pt idx="0">
                  <c:v>6288</c:v>
                </c:pt>
                <c:pt idx="1">
                  <c:v>5441</c:v>
                </c:pt>
                <c:pt idx="2">
                  <c:v>5918</c:v>
                </c:pt>
                <c:pt idx="3">
                  <c:v>5537</c:v>
                </c:pt>
              </c:numCache>
            </c:numRef>
          </c:val>
          <c:extLst>
            <c:ext xmlns:c16="http://schemas.microsoft.com/office/drawing/2014/chart" uri="{C3380CC4-5D6E-409C-BE32-E72D297353CC}">
              <c16:uniqueId val="{00000002-9F42-415D-9A80-7F3DAA331845}"/>
            </c:ext>
          </c:extLst>
        </c:ser>
        <c:dLbls>
          <c:showLegendKey val="0"/>
          <c:showVal val="0"/>
          <c:showCatName val="0"/>
          <c:showSerName val="0"/>
          <c:showPercent val="0"/>
          <c:showBubbleSize val="0"/>
        </c:dLbls>
        <c:gapWidth val="219"/>
        <c:overlap val="-27"/>
        <c:axId val="419937272"/>
        <c:axId val="419937928"/>
      </c:barChart>
      <c:catAx>
        <c:axId val="419937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37928"/>
        <c:crosses val="autoZero"/>
        <c:auto val="1"/>
        <c:lblAlgn val="ctr"/>
        <c:lblOffset val="100"/>
        <c:noMultiLvlLbl val="0"/>
      </c:catAx>
      <c:valAx>
        <c:axId val="419937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Number of attendances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37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100" b="0" i="0" u="none" strike="noStrike" kern="1200" spc="0" baseline="0">
                <a:solidFill>
                  <a:schemeClr val="tx1">
                    <a:lumMod val="65000"/>
                    <a:lumOff val="35000"/>
                  </a:schemeClr>
                </a:solidFill>
                <a:latin typeface="+mn-lt"/>
                <a:ea typeface="+mn-ea"/>
                <a:cs typeface="+mn-cs"/>
              </a:defRPr>
            </a:pPr>
            <a:r>
              <a:rPr lang="en-NZ" sz="1100"/>
              <a:t>IV chemotherapy attendances - Māori</a:t>
            </a:r>
          </a:p>
        </c:rich>
      </c:tx>
      <c:overlay val="0"/>
      <c:spPr>
        <a:noFill/>
        <a:ln>
          <a:noFill/>
        </a:ln>
        <a:effectLst/>
      </c:spPr>
      <c:txPr>
        <a:bodyPr rot="0" spcFirstLastPara="1" vertOverflow="ellipsis" vert="horz" wrap="square" anchor="ctr" anchorCtr="1"/>
        <a:lstStyle/>
        <a:p>
          <a:pPr algn="ctr" rtl="0">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0"/>
          <c:tx>
            <c:v>2018</c:v>
          </c:tx>
          <c:spPr>
            <a:solidFill>
              <a:schemeClr val="accent3"/>
            </a:solidFill>
            <a:ln>
              <a:noFill/>
            </a:ln>
            <a:effectLst/>
          </c:spPr>
          <c:invertIfNegative val="0"/>
          <c:val>
            <c:numRef>
              <c:f>'M IV Chemo'!$F$2:$F$5</c:f>
              <c:numCache>
                <c:formatCode>General</c:formatCode>
                <c:ptCount val="4"/>
                <c:pt idx="0">
                  <c:v>652</c:v>
                </c:pt>
                <c:pt idx="1">
                  <c:v>614</c:v>
                </c:pt>
                <c:pt idx="2">
                  <c:v>656</c:v>
                </c:pt>
                <c:pt idx="3">
                  <c:v>629</c:v>
                </c:pt>
              </c:numCache>
            </c:numRef>
          </c:val>
          <c:extLst>
            <c:ext xmlns:c16="http://schemas.microsoft.com/office/drawing/2014/chart" uri="{C3380CC4-5D6E-409C-BE32-E72D297353CC}">
              <c16:uniqueId val="{00000000-2F2A-4583-9573-837BF21C4E5A}"/>
            </c:ext>
          </c:extLst>
        </c:ser>
        <c:ser>
          <c:idx val="0"/>
          <c:order val="1"/>
          <c:tx>
            <c:v>2019</c:v>
          </c:tx>
          <c:spPr>
            <a:solidFill>
              <a:schemeClr val="accent1"/>
            </a:solidFill>
            <a:ln>
              <a:noFill/>
            </a:ln>
            <a:effectLst/>
          </c:spPr>
          <c:invertIfNegative val="0"/>
          <c:cat>
            <c:strRef>
              <c:f>'M IV Chemo'!$A$2:$A$5</c:f>
              <c:strCache>
                <c:ptCount val="4"/>
                <c:pt idx="0">
                  <c:v>Jan</c:v>
                </c:pt>
                <c:pt idx="1">
                  <c:v>Feb</c:v>
                </c:pt>
                <c:pt idx="2">
                  <c:v>Mar</c:v>
                </c:pt>
                <c:pt idx="3">
                  <c:v>Apr</c:v>
                </c:pt>
              </c:strCache>
            </c:strRef>
          </c:cat>
          <c:val>
            <c:numRef>
              <c:f>'M IV Chemo'!$G$2:$G$5</c:f>
              <c:numCache>
                <c:formatCode>General</c:formatCode>
                <c:ptCount val="4"/>
                <c:pt idx="0">
                  <c:v>731</c:v>
                </c:pt>
                <c:pt idx="1">
                  <c:v>662</c:v>
                </c:pt>
                <c:pt idx="2">
                  <c:v>711</c:v>
                </c:pt>
                <c:pt idx="3">
                  <c:v>655</c:v>
                </c:pt>
              </c:numCache>
            </c:numRef>
          </c:val>
          <c:extLst>
            <c:ext xmlns:c16="http://schemas.microsoft.com/office/drawing/2014/chart" uri="{C3380CC4-5D6E-409C-BE32-E72D297353CC}">
              <c16:uniqueId val="{00000001-2F2A-4583-9573-837BF21C4E5A}"/>
            </c:ext>
          </c:extLst>
        </c:ser>
        <c:ser>
          <c:idx val="1"/>
          <c:order val="2"/>
          <c:tx>
            <c:v>2020</c:v>
          </c:tx>
          <c:spPr>
            <a:solidFill>
              <a:schemeClr val="accent2"/>
            </a:solidFill>
            <a:ln>
              <a:noFill/>
            </a:ln>
            <a:effectLst/>
          </c:spPr>
          <c:invertIfNegative val="0"/>
          <c:val>
            <c:numRef>
              <c:f>'M IV Chemo'!$H$2:$H$5</c:f>
              <c:numCache>
                <c:formatCode>General</c:formatCode>
                <c:ptCount val="4"/>
                <c:pt idx="0">
                  <c:v>887</c:v>
                </c:pt>
                <c:pt idx="1">
                  <c:v>743</c:v>
                </c:pt>
                <c:pt idx="2">
                  <c:v>789</c:v>
                </c:pt>
                <c:pt idx="3">
                  <c:v>758</c:v>
                </c:pt>
              </c:numCache>
            </c:numRef>
          </c:val>
          <c:extLst>
            <c:ext xmlns:c16="http://schemas.microsoft.com/office/drawing/2014/chart" uri="{C3380CC4-5D6E-409C-BE32-E72D297353CC}">
              <c16:uniqueId val="{00000002-2F2A-4583-9573-837BF21C4E5A}"/>
            </c:ext>
          </c:extLst>
        </c:ser>
        <c:dLbls>
          <c:showLegendKey val="0"/>
          <c:showVal val="0"/>
          <c:showCatName val="0"/>
          <c:showSerName val="0"/>
          <c:showPercent val="0"/>
          <c:showBubbleSize val="0"/>
        </c:dLbls>
        <c:gapWidth val="219"/>
        <c:overlap val="-27"/>
        <c:axId val="419937272"/>
        <c:axId val="419937928"/>
      </c:barChart>
      <c:catAx>
        <c:axId val="419937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37928"/>
        <c:crosses val="autoZero"/>
        <c:auto val="1"/>
        <c:lblAlgn val="ctr"/>
        <c:lblOffset val="100"/>
        <c:noMultiLvlLbl val="0"/>
      </c:catAx>
      <c:valAx>
        <c:axId val="419937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Number of attendances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37272"/>
        <c:crosses val="autoZero"/>
        <c:crossBetween val="between"/>
        <c:majorUnit val="200"/>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Cumulative IV chemotherapy outpatient attendances - total population</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2"/>
          <c:order val="0"/>
          <c:tx>
            <c:strRef>
              <c:f>'W IV Chemo'!$L$2</c:f>
              <c:strCache>
                <c:ptCount val="1"/>
                <c:pt idx="0">
                  <c:v>2018</c:v>
                </c:pt>
              </c:strCache>
            </c:strRef>
          </c:tx>
          <c:spPr>
            <a:ln w="19050" cap="rnd">
              <a:solidFill>
                <a:schemeClr val="accent3"/>
              </a:solidFill>
              <a:round/>
            </a:ln>
            <a:effectLst/>
          </c:spPr>
          <c:marker>
            <c:symbol val="none"/>
          </c:marker>
          <c:xVal>
            <c:numRef>
              <c:f>'W IV Chemo'!$A$3:$A$28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'W IV Chemo'!$L$3:$L$28</c:f>
              <c:numCache>
                <c:formatCode>General</c:formatCode>
                <c:ptCount val="26"/>
                <c:pt idx="0">
                  <c:v>1012</c:v>
                </c:pt>
                <c:pt idx="1">
                  <c:v>2318</c:v>
                </c:pt>
                <c:pt idx="2">
                  <c:v>3537</c:v>
                </c:pt>
                <c:pt idx="3">
                  <c:v>4702</c:v>
                </c:pt>
                <c:pt idx="4">
                  <c:v>5920</c:v>
                </c:pt>
                <c:pt idx="5">
                  <c:v>7068</c:v>
                </c:pt>
                <c:pt idx="6">
                  <c:v>8296</c:v>
                </c:pt>
                <c:pt idx="7">
                  <c:v>9572</c:v>
                </c:pt>
                <c:pt idx="8">
                  <c:v>10742</c:v>
                </c:pt>
                <c:pt idx="9">
                  <c:v>11954</c:v>
                </c:pt>
                <c:pt idx="10">
                  <c:v>13203</c:v>
                </c:pt>
                <c:pt idx="11">
                  <c:v>14390</c:v>
                </c:pt>
                <c:pt idx="12">
                  <c:v>15560</c:v>
                </c:pt>
                <c:pt idx="13">
                  <c:v>16733</c:v>
                </c:pt>
                <c:pt idx="14">
                  <c:v>18002</c:v>
                </c:pt>
                <c:pt idx="15">
                  <c:v>19281</c:v>
                </c:pt>
                <c:pt idx="16">
                  <c:v>20478</c:v>
                </c:pt>
                <c:pt idx="17">
                  <c:v>21733</c:v>
                </c:pt>
                <c:pt idx="18">
                  <c:v>22996</c:v>
                </c:pt>
                <c:pt idx="19">
                  <c:v>24287</c:v>
                </c:pt>
                <c:pt idx="20">
                  <c:v>25517</c:v>
                </c:pt>
                <c:pt idx="21">
                  <c:v>26764</c:v>
                </c:pt>
                <c:pt idx="22">
                  <c:v>27951</c:v>
                </c:pt>
                <c:pt idx="23">
                  <c:v>29249</c:v>
                </c:pt>
                <c:pt idx="24">
                  <c:v>30533</c:v>
                </c:pt>
                <c:pt idx="25">
                  <c:v>31828</c:v>
                </c:pt>
              </c:numCache>
            </c:numRef>
          </c:yVal>
          <c:smooth val="1"/>
          <c:extLst>
            <c:ext xmlns:c16="http://schemas.microsoft.com/office/drawing/2014/chart" uri="{C3380CC4-5D6E-409C-BE32-E72D297353CC}">
              <c16:uniqueId val="{00000000-D957-4E2A-9046-5FDE8BA04E9B}"/>
            </c:ext>
          </c:extLst>
        </c:ser>
        <c:ser>
          <c:idx val="0"/>
          <c:order val="1"/>
          <c:tx>
            <c:strRef>
              <c:f>'W IV Chemo'!$M$2</c:f>
              <c:strCache>
                <c:ptCount val="1"/>
                <c:pt idx="0">
                  <c:v>2019</c:v>
                </c:pt>
              </c:strCache>
            </c:strRef>
          </c:tx>
          <c:spPr>
            <a:ln w="19050" cap="rnd">
              <a:solidFill>
                <a:schemeClr val="accent1"/>
              </a:solidFill>
              <a:round/>
            </a:ln>
            <a:effectLst/>
          </c:spPr>
          <c:marker>
            <c:symbol val="none"/>
          </c:marker>
          <c:xVal>
            <c:numRef>
              <c:f>'W IV Chemo'!$A$3:$A$28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'W IV Chemo'!$M$3:$M$28</c:f>
              <c:numCache>
                <c:formatCode>General</c:formatCode>
                <c:ptCount val="26"/>
                <c:pt idx="0">
                  <c:v>1030</c:v>
                </c:pt>
                <c:pt idx="1">
                  <c:v>2398</c:v>
                </c:pt>
                <c:pt idx="2">
                  <c:v>3650</c:v>
                </c:pt>
                <c:pt idx="3">
                  <c:v>4905</c:v>
                </c:pt>
                <c:pt idx="4">
                  <c:v>6314</c:v>
                </c:pt>
                <c:pt idx="5">
                  <c:v>7523</c:v>
                </c:pt>
                <c:pt idx="6">
                  <c:v>8904</c:v>
                </c:pt>
                <c:pt idx="7">
                  <c:v>10266</c:v>
                </c:pt>
                <c:pt idx="8">
                  <c:v>11515</c:v>
                </c:pt>
                <c:pt idx="9">
                  <c:v>12869</c:v>
                </c:pt>
                <c:pt idx="10">
                  <c:v>14271</c:v>
                </c:pt>
                <c:pt idx="11">
                  <c:v>15511</c:v>
                </c:pt>
                <c:pt idx="12">
                  <c:v>16865</c:v>
                </c:pt>
                <c:pt idx="13">
                  <c:v>18256</c:v>
                </c:pt>
                <c:pt idx="14">
                  <c:v>19607</c:v>
                </c:pt>
                <c:pt idx="15">
                  <c:v>20788</c:v>
                </c:pt>
                <c:pt idx="16">
                  <c:v>22063</c:v>
                </c:pt>
                <c:pt idx="17">
                  <c:v>23450</c:v>
                </c:pt>
                <c:pt idx="18">
                  <c:v>24835</c:v>
                </c:pt>
                <c:pt idx="19">
                  <c:v>26153</c:v>
                </c:pt>
                <c:pt idx="20">
                  <c:v>27441</c:v>
                </c:pt>
                <c:pt idx="21">
                  <c:v>28686</c:v>
                </c:pt>
                <c:pt idx="22">
                  <c:v>30093</c:v>
                </c:pt>
                <c:pt idx="23">
                  <c:v>31426</c:v>
                </c:pt>
                <c:pt idx="24">
                  <c:v>32731</c:v>
                </c:pt>
                <c:pt idx="25">
                  <c:v>34088</c:v>
                </c:pt>
              </c:numCache>
            </c:numRef>
          </c:yVal>
          <c:smooth val="1"/>
          <c:extLst>
            <c:ext xmlns:c16="http://schemas.microsoft.com/office/drawing/2014/chart" uri="{C3380CC4-5D6E-409C-BE32-E72D297353CC}">
              <c16:uniqueId val="{00000001-D957-4E2A-9046-5FDE8BA04E9B}"/>
            </c:ext>
          </c:extLst>
        </c:ser>
        <c:ser>
          <c:idx val="1"/>
          <c:order val="2"/>
          <c:tx>
            <c:strRef>
              <c:f>'W IV Chemo'!$N$2</c:f>
              <c:strCache>
                <c:ptCount val="1"/>
                <c:pt idx="0">
                  <c:v>2020</c:v>
                </c:pt>
              </c:strCache>
            </c:strRef>
          </c:tx>
          <c:spPr>
            <a:ln w="19050" cap="rnd">
              <a:solidFill>
                <a:schemeClr val="accent2"/>
              </a:solidFill>
              <a:round/>
            </a:ln>
            <a:effectLst/>
          </c:spPr>
          <c:marker>
            <c:symbol val="none"/>
          </c:marker>
          <c:xVal>
            <c:numRef>
              <c:f>'W IV Chemo'!$A$3:$A$28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'W IV Chemo'!$N$3:$N$19</c:f>
              <c:numCache>
                <c:formatCode>General</c:formatCode>
                <c:ptCount val="17"/>
                <c:pt idx="0">
                  <c:v>1033</c:v>
                </c:pt>
                <c:pt idx="1">
                  <c:v>2598</c:v>
                </c:pt>
                <c:pt idx="2">
                  <c:v>4000</c:v>
                </c:pt>
                <c:pt idx="3">
                  <c:v>5332</c:v>
                </c:pt>
                <c:pt idx="4">
                  <c:v>6810</c:v>
                </c:pt>
                <c:pt idx="5">
                  <c:v>8059</c:v>
                </c:pt>
                <c:pt idx="6">
                  <c:v>9448</c:v>
                </c:pt>
                <c:pt idx="7">
                  <c:v>10876</c:v>
                </c:pt>
                <c:pt idx="8">
                  <c:v>12245</c:v>
                </c:pt>
                <c:pt idx="9">
                  <c:v>13615</c:v>
                </c:pt>
                <c:pt idx="10">
                  <c:v>15104</c:v>
                </c:pt>
                <c:pt idx="11">
                  <c:v>16438</c:v>
                </c:pt>
                <c:pt idx="12">
                  <c:v>17647</c:v>
                </c:pt>
                <c:pt idx="13">
                  <c:v>18999</c:v>
                </c:pt>
                <c:pt idx="14">
                  <c:v>20072</c:v>
                </c:pt>
                <c:pt idx="15">
                  <c:v>21367</c:v>
                </c:pt>
                <c:pt idx="16">
                  <c:v>22585</c:v>
                </c:pt>
              </c:numCache>
            </c:numRef>
          </c:yVal>
          <c:smooth val="1"/>
          <c:extLst>
            <c:ext xmlns:c16="http://schemas.microsoft.com/office/drawing/2014/chart" uri="{C3380CC4-5D6E-409C-BE32-E72D297353CC}">
              <c16:uniqueId val="{00000002-D957-4E2A-9046-5FDE8BA04E9B}"/>
            </c:ext>
          </c:extLst>
        </c:ser>
        <c:ser>
          <c:idx val="3"/>
          <c:order val="3"/>
          <c:tx>
            <c:v>Level 4</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D957-4E2A-9046-5FDE8BA04E9B}"/>
                </c:ext>
              </c:extLst>
            </c:dLbl>
            <c:dLbl>
              <c:idx val="1"/>
              <c:layout>
                <c:manualLayout>
                  <c:x val="-8.2445923460898574E-2"/>
                  <c:y val="-4.1122776319626714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D957-4E2A-9046-5FDE8BA04E9B}"/>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'W IV Chemo'!$V$4:$V$5</c:f>
              <c:numCache>
                <c:formatCode>General</c:formatCode>
                <c:ptCount val="2"/>
                <c:pt idx="0">
                  <c:v>12</c:v>
                </c:pt>
                <c:pt idx="1">
                  <c:v>12</c:v>
                </c:pt>
              </c:numCache>
            </c:numRef>
          </c:xVal>
          <c:yVal>
            <c:numRef>
              <c:f>'W IV Chemo'!$W$4:$W$5</c:f>
              <c:numCache>
                <c:formatCode>General</c:formatCode>
                <c:ptCount val="2"/>
                <c:pt idx="0">
                  <c:v>0</c:v>
                </c:pt>
                <c:pt idx="1">
                  <c:v>34088</c:v>
                </c:pt>
              </c:numCache>
            </c:numRef>
          </c:yVal>
          <c:smooth val="1"/>
          <c:extLst>
            <c:ext xmlns:c16="http://schemas.microsoft.com/office/drawing/2014/chart" uri="{C3380CC4-5D6E-409C-BE32-E72D297353CC}">
              <c16:uniqueId val="{00000004-D957-4E2A-9046-5FDE8BA04E9B}"/>
            </c:ext>
          </c:extLst>
        </c:ser>
        <c:ser>
          <c:idx val="4"/>
          <c:order val="4"/>
          <c:tx>
            <c:v>Level 3</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5-D957-4E2A-9046-5FDE8BA04E9B}"/>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'W IV Chemo'!$V$7:$V$8</c:f>
              <c:numCache>
                <c:formatCode>General</c:formatCode>
                <c:ptCount val="2"/>
                <c:pt idx="0">
                  <c:v>17</c:v>
                </c:pt>
                <c:pt idx="1">
                  <c:v>17</c:v>
                </c:pt>
              </c:numCache>
            </c:numRef>
          </c:xVal>
          <c:yVal>
            <c:numRef>
              <c:f>'W IV Chemo'!$W$7:$W$8</c:f>
              <c:numCache>
                <c:formatCode>General</c:formatCode>
                <c:ptCount val="2"/>
                <c:pt idx="0">
                  <c:v>0</c:v>
                </c:pt>
                <c:pt idx="1">
                  <c:v>30679.200000000001</c:v>
                </c:pt>
              </c:numCache>
            </c:numRef>
          </c:yVal>
          <c:smooth val="1"/>
          <c:extLst>
            <c:ext xmlns:c16="http://schemas.microsoft.com/office/drawing/2014/chart" uri="{C3380CC4-5D6E-409C-BE32-E72D297353CC}">
              <c16:uniqueId val="{00000006-D957-4E2A-9046-5FDE8BA04E9B}"/>
            </c:ext>
          </c:extLst>
        </c:ser>
        <c:dLbls>
          <c:showLegendKey val="0"/>
          <c:showVal val="0"/>
          <c:showCatName val="0"/>
          <c:showSerName val="0"/>
          <c:showPercent val="0"/>
          <c:showBubbleSize val="0"/>
        </c:dLbls>
        <c:axId val="419949736"/>
        <c:axId val="419954000"/>
      </c:scatterChart>
      <c:valAx>
        <c:axId val="419949736"/>
        <c:scaling>
          <c:orientation val="minMax"/>
          <c:max val="27"/>
          <c:min val="1"/>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a:t>Week</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54000"/>
        <c:crosses val="autoZero"/>
        <c:crossBetween val="midCat"/>
        <c:majorUnit val="2"/>
      </c:valAx>
      <c:valAx>
        <c:axId val="419954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Cumulative number of attendances</a:t>
                </a:r>
              </a:p>
            </c:rich>
          </c:tx>
          <c:layout>
            <c:manualLayout>
              <c:xMode val="edge"/>
              <c:yMode val="edge"/>
              <c:x val="4.1597337770382693E-2"/>
              <c:y val="0.2615219320606507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midCat"/>
      </c:valAx>
      <c:spPr>
        <a:noFill/>
        <a:ln>
          <a:noFill/>
        </a:ln>
        <a:effectLst/>
      </c:spPr>
    </c:plotArea>
    <c:legend>
      <c:legendPos val="t"/>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Cumulative IV chemotherapy outpatient attendances - Māori</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2"/>
          <c:order val="0"/>
          <c:tx>
            <c:v>2018</c:v>
          </c:tx>
          <c:spPr>
            <a:ln w="19050" cap="rnd">
              <a:solidFill>
                <a:schemeClr val="accent3"/>
              </a:solidFill>
              <a:round/>
            </a:ln>
            <a:effectLst/>
          </c:spPr>
          <c:marker>
            <c:symbol val="none"/>
          </c:marker>
          <c:xVal>
            <c:numRef>
              <c:f>'W IV Chemo'!$A$3:$A$28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'W IV Chemo'!$O$3:$O$28</c:f>
              <c:numCache>
                <c:formatCode>General</c:formatCode>
                <c:ptCount val="26"/>
                <c:pt idx="0">
                  <c:v>125</c:v>
                </c:pt>
                <c:pt idx="1">
                  <c:v>284</c:v>
                </c:pt>
                <c:pt idx="2">
                  <c:v>440</c:v>
                </c:pt>
                <c:pt idx="3">
                  <c:v>577</c:v>
                </c:pt>
                <c:pt idx="4">
                  <c:v>724</c:v>
                </c:pt>
                <c:pt idx="5">
                  <c:v>883</c:v>
                </c:pt>
                <c:pt idx="6">
                  <c:v>1017</c:v>
                </c:pt>
                <c:pt idx="7">
                  <c:v>1170</c:v>
                </c:pt>
                <c:pt idx="8">
                  <c:v>1326</c:v>
                </c:pt>
                <c:pt idx="9">
                  <c:v>1476</c:v>
                </c:pt>
                <c:pt idx="10">
                  <c:v>1639</c:v>
                </c:pt>
                <c:pt idx="11">
                  <c:v>1781</c:v>
                </c:pt>
                <c:pt idx="12">
                  <c:v>1922</c:v>
                </c:pt>
                <c:pt idx="13">
                  <c:v>2075</c:v>
                </c:pt>
                <c:pt idx="14">
                  <c:v>2223</c:v>
                </c:pt>
                <c:pt idx="15">
                  <c:v>2371</c:v>
                </c:pt>
                <c:pt idx="16">
                  <c:v>2526</c:v>
                </c:pt>
                <c:pt idx="17">
                  <c:v>2666</c:v>
                </c:pt>
                <c:pt idx="18">
                  <c:v>2805</c:v>
                </c:pt>
                <c:pt idx="19">
                  <c:v>2970</c:v>
                </c:pt>
                <c:pt idx="20">
                  <c:v>3123</c:v>
                </c:pt>
                <c:pt idx="21">
                  <c:v>3270</c:v>
                </c:pt>
                <c:pt idx="22">
                  <c:v>3422</c:v>
                </c:pt>
                <c:pt idx="23">
                  <c:v>3569</c:v>
                </c:pt>
                <c:pt idx="24">
                  <c:v>3729</c:v>
                </c:pt>
                <c:pt idx="25">
                  <c:v>3907</c:v>
                </c:pt>
              </c:numCache>
            </c:numRef>
          </c:yVal>
          <c:smooth val="1"/>
          <c:extLst>
            <c:ext xmlns:c16="http://schemas.microsoft.com/office/drawing/2014/chart" uri="{C3380CC4-5D6E-409C-BE32-E72D297353CC}">
              <c16:uniqueId val="{00000000-2684-470A-B76E-9304D6F8CCEF}"/>
            </c:ext>
          </c:extLst>
        </c:ser>
        <c:ser>
          <c:idx val="0"/>
          <c:order val="1"/>
          <c:tx>
            <c:v>2019</c:v>
          </c:tx>
          <c:spPr>
            <a:ln w="19050" cap="rnd">
              <a:solidFill>
                <a:schemeClr val="accent1"/>
              </a:solidFill>
              <a:round/>
            </a:ln>
            <a:effectLst/>
          </c:spPr>
          <c:marker>
            <c:symbol val="none"/>
          </c:marker>
          <c:xVal>
            <c:numRef>
              <c:f>'W IV Chemo'!$A$3:$A$28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'W IV Chemo'!$P$3:$P$28</c:f>
              <c:numCache>
                <c:formatCode>General</c:formatCode>
                <c:ptCount val="26"/>
                <c:pt idx="0">
                  <c:v>128</c:v>
                </c:pt>
                <c:pt idx="1">
                  <c:v>317</c:v>
                </c:pt>
                <c:pt idx="2">
                  <c:v>475</c:v>
                </c:pt>
                <c:pt idx="3">
                  <c:v>618</c:v>
                </c:pt>
                <c:pt idx="4">
                  <c:v>797</c:v>
                </c:pt>
                <c:pt idx="5">
                  <c:v>950</c:v>
                </c:pt>
                <c:pt idx="6">
                  <c:v>1118</c:v>
                </c:pt>
                <c:pt idx="7">
                  <c:v>1294</c:v>
                </c:pt>
                <c:pt idx="8">
                  <c:v>1458</c:v>
                </c:pt>
                <c:pt idx="9">
                  <c:v>1641</c:v>
                </c:pt>
                <c:pt idx="10">
                  <c:v>1812</c:v>
                </c:pt>
                <c:pt idx="11">
                  <c:v>1953</c:v>
                </c:pt>
                <c:pt idx="12">
                  <c:v>2121</c:v>
                </c:pt>
                <c:pt idx="13">
                  <c:v>2281</c:v>
                </c:pt>
                <c:pt idx="14">
                  <c:v>2445</c:v>
                </c:pt>
                <c:pt idx="15">
                  <c:v>2590</c:v>
                </c:pt>
                <c:pt idx="16">
                  <c:v>2723</c:v>
                </c:pt>
                <c:pt idx="17">
                  <c:v>2878</c:v>
                </c:pt>
                <c:pt idx="18">
                  <c:v>3057</c:v>
                </c:pt>
                <c:pt idx="19">
                  <c:v>3214</c:v>
                </c:pt>
                <c:pt idx="20">
                  <c:v>3363</c:v>
                </c:pt>
                <c:pt idx="21">
                  <c:v>3513</c:v>
                </c:pt>
                <c:pt idx="22">
                  <c:v>3688</c:v>
                </c:pt>
                <c:pt idx="23">
                  <c:v>3846</c:v>
                </c:pt>
                <c:pt idx="24">
                  <c:v>4017</c:v>
                </c:pt>
                <c:pt idx="25">
                  <c:v>4175</c:v>
                </c:pt>
              </c:numCache>
            </c:numRef>
          </c:yVal>
          <c:smooth val="1"/>
          <c:extLst>
            <c:ext xmlns:c16="http://schemas.microsoft.com/office/drawing/2014/chart" uri="{C3380CC4-5D6E-409C-BE32-E72D297353CC}">
              <c16:uniqueId val="{00000001-2684-470A-B76E-9304D6F8CCEF}"/>
            </c:ext>
          </c:extLst>
        </c:ser>
        <c:ser>
          <c:idx val="1"/>
          <c:order val="2"/>
          <c:tx>
            <c:v>2020</c:v>
          </c:tx>
          <c:spPr>
            <a:ln w="19050" cap="rnd">
              <a:solidFill>
                <a:schemeClr val="accent2"/>
              </a:solidFill>
              <a:round/>
            </a:ln>
            <a:effectLst/>
          </c:spPr>
          <c:marker>
            <c:symbol val="none"/>
          </c:marker>
          <c:xVal>
            <c:numRef>
              <c:f>'W IV Chemo'!$A$3:$A$28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'W IV Chemo'!$Q$3:$Q$19</c:f>
              <c:numCache>
                <c:formatCode>General</c:formatCode>
                <c:ptCount val="17"/>
                <c:pt idx="0">
                  <c:v>134</c:v>
                </c:pt>
                <c:pt idx="1">
                  <c:v>367</c:v>
                </c:pt>
                <c:pt idx="2">
                  <c:v>567</c:v>
                </c:pt>
                <c:pt idx="3">
                  <c:v>752</c:v>
                </c:pt>
                <c:pt idx="4">
                  <c:v>944</c:v>
                </c:pt>
                <c:pt idx="5">
                  <c:v>1121</c:v>
                </c:pt>
                <c:pt idx="6">
                  <c:v>1306</c:v>
                </c:pt>
                <c:pt idx="7">
                  <c:v>1517</c:v>
                </c:pt>
                <c:pt idx="8">
                  <c:v>1703</c:v>
                </c:pt>
                <c:pt idx="9">
                  <c:v>1879</c:v>
                </c:pt>
                <c:pt idx="10">
                  <c:v>2089</c:v>
                </c:pt>
                <c:pt idx="11">
                  <c:v>2267</c:v>
                </c:pt>
                <c:pt idx="12">
                  <c:v>2419</c:v>
                </c:pt>
                <c:pt idx="13">
                  <c:v>2592</c:v>
                </c:pt>
                <c:pt idx="14">
                  <c:v>2761</c:v>
                </c:pt>
                <c:pt idx="15">
                  <c:v>2940</c:v>
                </c:pt>
                <c:pt idx="16">
                  <c:v>3092</c:v>
                </c:pt>
              </c:numCache>
            </c:numRef>
          </c:yVal>
          <c:smooth val="1"/>
          <c:extLst>
            <c:ext xmlns:c16="http://schemas.microsoft.com/office/drawing/2014/chart" uri="{C3380CC4-5D6E-409C-BE32-E72D297353CC}">
              <c16:uniqueId val="{00000002-2684-470A-B76E-9304D6F8CCEF}"/>
            </c:ext>
          </c:extLst>
        </c:ser>
        <c:ser>
          <c:idx val="3"/>
          <c:order val="3"/>
          <c:tx>
            <c:v>Level 4</c:v>
          </c:tx>
          <c:spPr>
            <a:ln w="28575" cap="rnd">
              <a:solidFill>
                <a:schemeClr val="tx1"/>
              </a:solidFill>
              <a:prstDash val="sysDot"/>
              <a:round/>
            </a:ln>
            <a:effectLst/>
          </c:spPr>
          <c:marker>
            <c:symbol val="none"/>
          </c:marker>
          <c:dPt>
            <c:idx val="1"/>
            <c:marker>
              <c:symbol val="none"/>
            </c:marker>
            <c:bubble3D val="0"/>
            <c:spPr>
              <a:ln w="22225" cap="rnd">
                <a:solidFill>
                  <a:schemeClr val="tx1"/>
                </a:solidFill>
                <a:prstDash val="sysDot"/>
                <a:round/>
              </a:ln>
              <a:effectLst/>
            </c:spPr>
            <c:extLst>
              <c:ext xmlns:c16="http://schemas.microsoft.com/office/drawing/2014/chart" uri="{C3380CC4-5D6E-409C-BE32-E72D297353CC}">
                <c16:uniqueId val="{00000004-2684-470A-B76E-9304D6F8CCEF}"/>
              </c:ext>
            </c:extLst>
          </c:dPt>
          <c:dLbls>
            <c:dLbl>
              <c:idx val="0"/>
              <c:delete val="1"/>
              <c:extLst>
                <c:ext xmlns:c15="http://schemas.microsoft.com/office/drawing/2012/chart" uri="{CE6537A1-D6FC-4f65-9D91-7224C49458BB}"/>
                <c:ext xmlns:c16="http://schemas.microsoft.com/office/drawing/2014/chart" uri="{C3380CC4-5D6E-409C-BE32-E72D297353CC}">
                  <c16:uniqueId val="{00000005-2684-470A-B76E-9304D6F8CCEF}"/>
                </c:ext>
              </c:extLst>
            </c:dLbl>
            <c:dLbl>
              <c:idx val="1"/>
              <c:layout>
                <c:manualLayout>
                  <c:x val="-8.332982972461643E-2"/>
                  <c:y val="-2.7233887430737826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2684-470A-B76E-9304D6F8CCEF}"/>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'W IV Chemo'!$V$4:$V$5</c:f>
              <c:numCache>
                <c:formatCode>General</c:formatCode>
                <c:ptCount val="2"/>
                <c:pt idx="0">
                  <c:v>12</c:v>
                </c:pt>
                <c:pt idx="1">
                  <c:v>12</c:v>
                </c:pt>
              </c:numCache>
            </c:numRef>
          </c:xVal>
          <c:yVal>
            <c:numRef>
              <c:f>'W IV Chemo'!$X$4:$X$5</c:f>
              <c:numCache>
                <c:formatCode>General</c:formatCode>
                <c:ptCount val="2"/>
                <c:pt idx="0">
                  <c:v>0</c:v>
                </c:pt>
                <c:pt idx="1">
                  <c:v>4175</c:v>
                </c:pt>
              </c:numCache>
            </c:numRef>
          </c:yVal>
          <c:smooth val="1"/>
          <c:extLst>
            <c:ext xmlns:c16="http://schemas.microsoft.com/office/drawing/2014/chart" uri="{C3380CC4-5D6E-409C-BE32-E72D297353CC}">
              <c16:uniqueId val="{00000006-2684-470A-B76E-9304D6F8CCEF}"/>
            </c:ext>
          </c:extLst>
        </c:ser>
        <c:ser>
          <c:idx val="4"/>
          <c:order val="4"/>
          <c:tx>
            <c:v>Level 3</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7-2684-470A-B76E-9304D6F8CCEF}"/>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'W IV Chemo'!$V$7:$V$8</c:f>
              <c:numCache>
                <c:formatCode>General</c:formatCode>
                <c:ptCount val="2"/>
                <c:pt idx="0">
                  <c:v>17</c:v>
                </c:pt>
                <c:pt idx="1">
                  <c:v>17</c:v>
                </c:pt>
              </c:numCache>
            </c:numRef>
          </c:xVal>
          <c:yVal>
            <c:numRef>
              <c:f>'W IV Chemo'!$X$7:$X$8</c:f>
              <c:numCache>
                <c:formatCode>General</c:formatCode>
                <c:ptCount val="2"/>
                <c:pt idx="0">
                  <c:v>0</c:v>
                </c:pt>
                <c:pt idx="1">
                  <c:v>3757.5</c:v>
                </c:pt>
              </c:numCache>
            </c:numRef>
          </c:yVal>
          <c:smooth val="1"/>
          <c:extLst>
            <c:ext xmlns:c16="http://schemas.microsoft.com/office/drawing/2014/chart" uri="{C3380CC4-5D6E-409C-BE32-E72D297353CC}">
              <c16:uniqueId val="{00000008-2684-470A-B76E-9304D6F8CCEF}"/>
            </c:ext>
          </c:extLst>
        </c:ser>
        <c:dLbls>
          <c:showLegendKey val="0"/>
          <c:showVal val="0"/>
          <c:showCatName val="0"/>
          <c:showSerName val="0"/>
          <c:showPercent val="0"/>
          <c:showBubbleSize val="0"/>
        </c:dLbls>
        <c:axId val="419949736"/>
        <c:axId val="419954000"/>
      </c:scatterChart>
      <c:valAx>
        <c:axId val="419949736"/>
        <c:scaling>
          <c:orientation val="minMax"/>
          <c:max val="27"/>
          <c:min val="1"/>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a:t>Week</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54000"/>
        <c:crosses val="autoZero"/>
        <c:crossBetween val="midCat"/>
        <c:majorUnit val="2"/>
      </c:valAx>
      <c:valAx>
        <c:axId val="419954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Cumulative number of attendances</a:t>
                </a:r>
              </a:p>
            </c:rich>
          </c:tx>
          <c:layout>
            <c:manualLayout>
              <c:xMode val="edge"/>
              <c:yMode val="edge"/>
              <c:x val="3.7838974143367669E-2"/>
              <c:y val="0.2732245699503389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midCat"/>
      </c:valAx>
      <c:spPr>
        <a:noFill/>
        <a:ln>
          <a:noFill/>
        </a:ln>
        <a:effectLst/>
      </c:spPr>
    </c:plotArea>
    <c:legend>
      <c:legendPos val="t"/>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00" b="0" i="0" u="none" strike="noStrike" kern="1200" spc="0" baseline="0">
                <a:solidFill>
                  <a:schemeClr val="tx1">
                    <a:lumMod val="65000"/>
                    <a:lumOff val="35000"/>
                  </a:schemeClr>
                </a:solidFill>
                <a:latin typeface="+mn-lt"/>
                <a:ea typeface="+mn-ea"/>
                <a:cs typeface="+mn-cs"/>
              </a:defRPr>
            </a:pPr>
            <a:r>
              <a:rPr lang="en-NZ" sz="1000"/>
              <a:t>Radiation oncology FSAs - total population</a:t>
            </a:r>
          </a:p>
        </c:rich>
      </c:tx>
      <c:layout>
        <c:manualLayout>
          <c:xMode val="edge"/>
          <c:yMode val="edge"/>
          <c:x val="0.1609306649168854"/>
          <c:y val="2.306805074971165E-2"/>
        </c:manualLayout>
      </c:layout>
      <c:overlay val="0"/>
      <c:spPr>
        <a:noFill/>
        <a:ln>
          <a:noFill/>
        </a:ln>
        <a:effectLst/>
      </c:spPr>
      <c:txPr>
        <a:bodyPr rot="0" spcFirstLastPara="1" vertOverflow="ellipsis" vert="horz" wrap="square" anchor="ctr" anchorCtr="1"/>
        <a:lstStyle/>
        <a:p>
          <a:pPr algn="ctr" rtl="0">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0"/>
          <c:tx>
            <c:strRef>
              <c:f>'M RO FSAs'!$B$1</c:f>
              <c:strCache>
                <c:ptCount val="1"/>
                <c:pt idx="0">
                  <c:v>2018</c:v>
                </c:pt>
              </c:strCache>
            </c:strRef>
          </c:tx>
          <c:spPr>
            <a:solidFill>
              <a:schemeClr val="accent3"/>
            </a:solidFill>
            <a:ln>
              <a:noFill/>
            </a:ln>
            <a:effectLst/>
          </c:spPr>
          <c:invertIfNegative val="0"/>
          <c:val>
            <c:numRef>
              <c:f>'M RO FSAs'!$B$2:$B$5</c:f>
              <c:numCache>
                <c:formatCode>General</c:formatCode>
                <c:ptCount val="4"/>
                <c:pt idx="0">
                  <c:v>953</c:v>
                </c:pt>
                <c:pt idx="1">
                  <c:v>896</c:v>
                </c:pt>
                <c:pt idx="2">
                  <c:v>973</c:v>
                </c:pt>
                <c:pt idx="3">
                  <c:v>874</c:v>
                </c:pt>
              </c:numCache>
            </c:numRef>
          </c:val>
          <c:extLst>
            <c:ext xmlns:c16="http://schemas.microsoft.com/office/drawing/2014/chart" uri="{C3380CC4-5D6E-409C-BE32-E72D297353CC}">
              <c16:uniqueId val="{00000000-F8F7-4292-9D37-E7A53398AB8C}"/>
            </c:ext>
          </c:extLst>
        </c:ser>
        <c:ser>
          <c:idx val="0"/>
          <c:order val="1"/>
          <c:tx>
            <c:strRef>
              <c:f>'M RO FSAs'!$C$1</c:f>
              <c:strCache>
                <c:ptCount val="1"/>
                <c:pt idx="0">
                  <c:v>2019</c:v>
                </c:pt>
              </c:strCache>
            </c:strRef>
          </c:tx>
          <c:spPr>
            <a:solidFill>
              <a:schemeClr val="accent1"/>
            </a:solidFill>
            <a:ln>
              <a:noFill/>
            </a:ln>
            <a:effectLst/>
          </c:spPr>
          <c:invertIfNegative val="0"/>
          <c:cat>
            <c:strRef>
              <c:f>'M RO FSAs'!$A$2:$A$5</c:f>
              <c:strCache>
                <c:ptCount val="4"/>
                <c:pt idx="0">
                  <c:v>Jan</c:v>
                </c:pt>
                <c:pt idx="1">
                  <c:v>Feb</c:v>
                </c:pt>
                <c:pt idx="2">
                  <c:v>Mar</c:v>
                </c:pt>
                <c:pt idx="3">
                  <c:v>Apr</c:v>
                </c:pt>
              </c:strCache>
            </c:strRef>
          </c:cat>
          <c:val>
            <c:numRef>
              <c:f>'M RO FSAs'!$C$2:$C$5</c:f>
              <c:numCache>
                <c:formatCode>General</c:formatCode>
                <c:ptCount val="4"/>
                <c:pt idx="0">
                  <c:v>903</c:v>
                </c:pt>
                <c:pt idx="1">
                  <c:v>960</c:v>
                </c:pt>
                <c:pt idx="2">
                  <c:v>1035</c:v>
                </c:pt>
                <c:pt idx="3">
                  <c:v>906</c:v>
                </c:pt>
              </c:numCache>
            </c:numRef>
          </c:val>
          <c:extLst>
            <c:ext xmlns:c16="http://schemas.microsoft.com/office/drawing/2014/chart" uri="{C3380CC4-5D6E-409C-BE32-E72D297353CC}">
              <c16:uniqueId val="{00000001-F8F7-4292-9D37-E7A53398AB8C}"/>
            </c:ext>
          </c:extLst>
        </c:ser>
        <c:ser>
          <c:idx val="1"/>
          <c:order val="2"/>
          <c:tx>
            <c:strRef>
              <c:f>'M RO FSAs'!$D$1</c:f>
              <c:strCache>
                <c:ptCount val="1"/>
                <c:pt idx="0">
                  <c:v>2020</c:v>
                </c:pt>
              </c:strCache>
            </c:strRef>
          </c:tx>
          <c:spPr>
            <a:solidFill>
              <a:schemeClr val="accent2"/>
            </a:solidFill>
            <a:ln>
              <a:noFill/>
            </a:ln>
            <a:effectLst/>
          </c:spPr>
          <c:invertIfNegative val="0"/>
          <c:val>
            <c:numRef>
              <c:f>'M RO FSAs'!$D$2:$D$5</c:f>
              <c:numCache>
                <c:formatCode>General</c:formatCode>
                <c:ptCount val="4"/>
                <c:pt idx="0">
                  <c:v>962</c:v>
                </c:pt>
                <c:pt idx="1">
                  <c:v>932</c:v>
                </c:pt>
                <c:pt idx="2">
                  <c:v>1102</c:v>
                </c:pt>
                <c:pt idx="3">
                  <c:v>928</c:v>
                </c:pt>
              </c:numCache>
            </c:numRef>
          </c:val>
          <c:extLst>
            <c:ext xmlns:c16="http://schemas.microsoft.com/office/drawing/2014/chart" uri="{C3380CC4-5D6E-409C-BE32-E72D297353CC}">
              <c16:uniqueId val="{00000002-F8F7-4292-9D37-E7A53398AB8C}"/>
            </c:ext>
          </c:extLst>
        </c:ser>
        <c:dLbls>
          <c:showLegendKey val="0"/>
          <c:showVal val="0"/>
          <c:showCatName val="0"/>
          <c:showSerName val="0"/>
          <c:showPercent val="0"/>
          <c:showBubbleSize val="0"/>
        </c:dLbls>
        <c:gapWidth val="219"/>
        <c:overlap val="-27"/>
        <c:axId val="419937272"/>
        <c:axId val="419937928"/>
      </c:barChart>
      <c:catAx>
        <c:axId val="419937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37928"/>
        <c:crosses val="autoZero"/>
        <c:auto val="1"/>
        <c:lblAlgn val="ctr"/>
        <c:lblOffset val="100"/>
        <c:noMultiLvlLbl val="0"/>
      </c:catAx>
      <c:valAx>
        <c:axId val="419937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Number of FSAs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37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960" b="0" i="0" u="none" strike="noStrike" kern="1200" spc="0" baseline="0">
                <a:solidFill>
                  <a:schemeClr val="tx1">
                    <a:lumMod val="65000"/>
                    <a:lumOff val="35000"/>
                  </a:schemeClr>
                </a:solidFill>
                <a:latin typeface="+mn-lt"/>
                <a:ea typeface="+mn-ea"/>
                <a:cs typeface="+mn-cs"/>
              </a:defRPr>
            </a:pPr>
            <a:r>
              <a:rPr lang="en-NZ"/>
              <a:t>Radiation oncology FSAs - Māori</a:t>
            </a:r>
          </a:p>
        </c:rich>
      </c:tx>
      <c:overlay val="0"/>
      <c:spPr>
        <a:noFill/>
        <a:ln>
          <a:noFill/>
        </a:ln>
        <a:effectLst/>
      </c:spPr>
      <c:txPr>
        <a:bodyPr rot="0" spcFirstLastPara="1" vertOverflow="ellipsis" vert="horz" wrap="square" anchor="ctr" anchorCtr="1"/>
        <a:lstStyle/>
        <a:p>
          <a:pPr algn="ctr" rtl="0">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0"/>
          <c:tx>
            <c:v>2018</c:v>
          </c:tx>
          <c:spPr>
            <a:solidFill>
              <a:schemeClr val="accent3"/>
            </a:solidFill>
            <a:ln>
              <a:noFill/>
            </a:ln>
            <a:effectLst/>
          </c:spPr>
          <c:invertIfNegative val="0"/>
          <c:val>
            <c:numRef>
              <c:f>'M RO FSAs'!$F$2:$F$5</c:f>
              <c:numCache>
                <c:formatCode>General</c:formatCode>
                <c:ptCount val="4"/>
                <c:pt idx="0">
                  <c:v>93</c:v>
                </c:pt>
                <c:pt idx="1">
                  <c:v>110</c:v>
                </c:pt>
                <c:pt idx="2">
                  <c:v>112</c:v>
                </c:pt>
                <c:pt idx="3">
                  <c:v>106</c:v>
                </c:pt>
              </c:numCache>
            </c:numRef>
          </c:val>
          <c:extLst>
            <c:ext xmlns:c16="http://schemas.microsoft.com/office/drawing/2014/chart" uri="{C3380CC4-5D6E-409C-BE32-E72D297353CC}">
              <c16:uniqueId val="{00000000-01C8-49B9-8F8C-3A2150795F1F}"/>
            </c:ext>
          </c:extLst>
        </c:ser>
        <c:ser>
          <c:idx val="0"/>
          <c:order val="1"/>
          <c:tx>
            <c:v>2019</c:v>
          </c:tx>
          <c:spPr>
            <a:solidFill>
              <a:schemeClr val="accent1"/>
            </a:solidFill>
            <a:ln>
              <a:noFill/>
            </a:ln>
            <a:effectLst/>
          </c:spPr>
          <c:invertIfNegative val="0"/>
          <c:cat>
            <c:strRef>
              <c:f>'M RO FSAs'!$A$2:$A$5</c:f>
              <c:strCache>
                <c:ptCount val="4"/>
                <c:pt idx="0">
                  <c:v>Jan</c:v>
                </c:pt>
                <c:pt idx="1">
                  <c:v>Feb</c:v>
                </c:pt>
                <c:pt idx="2">
                  <c:v>Mar</c:v>
                </c:pt>
                <c:pt idx="3">
                  <c:v>Apr</c:v>
                </c:pt>
              </c:strCache>
            </c:strRef>
          </c:cat>
          <c:val>
            <c:numRef>
              <c:f>'M RO FSAs'!$G$2:$G$5</c:f>
              <c:numCache>
                <c:formatCode>General</c:formatCode>
                <c:ptCount val="4"/>
                <c:pt idx="0">
                  <c:v>112</c:v>
                </c:pt>
                <c:pt idx="1">
                  <c:v>109</c:v>
                </c:pt>
                <c:pt idx="2">
                  <c:v>99</c:v>
                </c:pt>
                <c:pt idx="3">
                  <c:v>118</c:v>
                </c:pt>
              </c:numCache>
            </c:numRef>
          </c:val>
          <c:extLst>
            <c:ext xmlns:c16="http://schemas.microsoft.com/office/drawing/2014/chart" uri="{C3380CC4-5D6E-409C-BE32-E72D297353CC}">
              <c16:uniqueId val="{00000001-01C8-49B9-8F8C-3A2150795F1F}"/>
            </c:ext>
          </c:extLst>
        </c:ser>
        <c:ser>
          <c:idx val="1"/>
          <c:order val="2"/>
          <c:tx>
            <c:v>2020</c:v>
          </c:tx>
          <c:spPr>
            <a:solidFill>
              <a:schemeClr val="accent2"/>
            </a:solidFill>
            <a:ln>
              <a:noFill/>
            </a:ln>
            <a:effectLst/>
          </c:spPr>
          <c:invertIfNegative val="0"/>
          <c:val>
            <c:numRef>
              <c:f>'M RO FSAs'!$H$2:$H$5</c:f>
              <c:numCache>
                <c:formatCode>General</c:formatCode>
                <c:ptCount val="4"/>
                <c:pt idx="0">
                  <c:v>115</c:v>
                </c:pt>
                <c:pt idx="1">
                  <c:v>101</c:v>
                </c:pt>
                <c:pt idx="2">
                  <c:v>122</c:v>
                </c:pt>
                <c:pt idx="3">
                  <c:v>128</c:v>
                </c:pt>
              </c:numCache>
            </c:numRef>
          </c:val>
          <c:extLst>
            <c:ext xmlns:c16="http://schemas.microsoft.com/office/drawing/2014/chart" uri="{C3380CC4-5D6E-409C-BE32-E72D297353CC}">
              <c16:uniqueId val="{00000002-01C8-49B9-8F8C-3A2150795F1F}"/>
            </c:ext>
          </c:extLst>
        </c:ser>
        <c:dLbls>
          <c:showLegendKey val="0"/>
          <c:showVal val="0"/>
          <c:showCatName val="0"/>
          <c:showSerName val="0"/>
          <c:showPercent val="0"/>
          <c:showBubbleSize val="0"/>
        </c:dLbls>
        <c:gapWidth val="219"/>
        <c:overlap val="-27"/>
        <c:axId val="419937272"/>
        <c:axId val="419937928"/>
      </c:barChart>
      <c:catAx>
        <c:axId val="419937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37928"/>
        <c:crosses val="autoZero"/>
        <c:auto val="1"/>
        <c:lblAlgn val="ctr"/>
        <c:lblOffset val="100"/>
        <c:noMultiLvlLbl val="0"/>
      </c:catAx>
      <c:valAx>
        <c:axId val="419937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Number of FSAs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37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Cumulative radiation oncology FSAs - total population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2"/>
          <c:order val="0"/>
          <c:tx>
            <c:strRef>
              <c:f>'W RadOnc FSA'!$L$2</c:f>
              <c:strCache>
                <c:ptCount val="1"/>
                <c:pt idx="0">
                  <c:v>2018</c:v>
                </c:pt>
              </c:strCache>
            </c:strRef>
          </c:tx>
          <c:spPr>
            <a:ln w="19050" cap="rnd">
              <a:solidFill>
                <a:schemeClr val="accent3"/>
              </a:solidFill>
              <a:round/>
            </a:ln>
            <a:effectLst/>
          </c:spPr>
          <c:marker>
            <c:symbol val="none"/>
          </c:marker>
          <c:xVal>
            <c:numRef>
              <c:f>'W RadOnc FSA'!$A$3:$A$28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'W RadOnc FSA'!$L$3:$L$28</c:f>
              <c:numCache>
                <c:formatCode>General</c:formatCode>
                <c:ptCount val="26"/>
                <c:pt idx="0">
                  <c:v>106</c:v>
                </c:pt>
                <c:pt idx="1">
                  <c:v>337</c:v>
                </c:pt>
                <c:pt idx="2">
                  <c:v>599</c:v>
                </c:pt>
                <c:pt idx="3">
                  <c:v>821</c:v>
                </c:pt>
                <c:pt idx="4">
                  <c:v>1039</c:v>
                </c:pt>
                <c:pt idx="5">
                  <c:v>1225</c:v>
                </c:pt>
                <c:pt idx="6">
                  <c:v>1448</c:v>
                </c:pt>
                <c:pt idx="7">
                  <c:v>1699</c:v>
                </c:pt>
                <c:pt idx="8">
                  <c:v>1936</c:v>
                </c:pt>
                <c:pt idx="9">
                  <c:v>2178</c:v>
                </c:pt>
                <c:pt idx="10">
                  <c:v>2402</c:v>
                </c:pt>
                <c:pt idx="11">
                  <c:v>2625</c:v>
                </c:pt>
                <c:pt idx="12">
                  <c:v>2822</c:v>
                </c:pt>
                <c:pt idx="13">
                  <c:v>3048</c:v>
                </c:pt>
                <c:pt idx="14">
                  <c:v>3267</c:v>
                </c:pt>
                <c:pt idx="15">
                  <c:v>3476</c:v>
                </c:pt>
                <c:pt idx="16">
                  <c:v>3643</c:v>
                </c:pt>
                <c:pt idx="17">
                  <c:v>3906</c:v>
                </c:pt>
                <c:pt idx="18">
                  <c:v>4162</c:v>
                </c:pt>
                <c:pt idx="19">
                  <c:v>4391</c:v>
                </c:pt>
                <c:pt idx="20">
                  <c:v>4635</c:v>
                </c:pt>
                <c:pt idx="21">
                  <c:v>4896</c:v>
                </c:pt>
                <c:pt idx="22">
                  <c:v>5092</c:v>
                </c:pt>
                <c:pt idx="23">
                  <c:v>5350</c:v>
                </c:pt>
                <c:pt idx="24">
                  <c:v>5581</c:v>
                </c:pt>
                <c:pt idx="25">
                  <c:v>5843</c:v>
                </c:pt>
              </c:numCache>
            </c:numRef>
          </c:yVal>
          <c:smooth val="1"/>
          <c:extLst>
            <c:ext xmlns:c16="http://schemas.microsoft.com/office/drawing/2014/chart" uri="{C3380CC4-5D6E-409C-BE32-E72D297353CC}">
              <c16:uniqueId val="{00000000-7A6A-4B05-AF8D-632D69E548DC}"/>
            </c:ext>
          </c:extLst>
        </c:ser>
        <c:ser>
          <c:idx val="0"/>
          <c:order val="1"/>
          <c:tx>
            <c:strRef>
              <c:f>'W RadOnc FSA'!$M$2</c:f>
              <c:strCache>
                <c:ptCount val="1"/>
                <c:pt idx="0">
                  <c:v>2019</c:v>
                </c:pt>
              </c:strCache>
            </c:strRef>
          </c:tx>
          <c:spPr>
            <a:ln w="19050" cap="rnd">
              <a:solidFill>
                <a:schemeClr val="accent1"/>
              </a:solidFill>
              <a:round/>
            </a:ln>
            <a:effectLst/>
          </c:spPr>
          <c:marker>
            <c:symbol val="none"/>
          </c:marker>
          <c:xVal>
            <c:numRef>
              <c:f>'W RadOnc FSA'!$A$3:$A$28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'W RadOnc FSA'!$M$3:$M$28</c:f>
              <c:numCache>
                <c:formatCode>General</c:formatCode>
                <c:ptCount val="26"/>
                <c:pt idx="0">
                  <c:v>110</c:v>
                </c:pt>
                <c:pt idx="1">
                  <c:v>363</c:v>
                </c:pt>
                <c:pt idx="2">
                  <c:v>548</c:v>
                </c:pt>
                <c:pt idx="3">
                  <c:v>766</c:v>
                </c:pt>
                <c:pt idx="4">
                  <c:v>985</c:v>
                </c:pt>
                <c:pt idx="5">
                  <c:v>1192</c:v>
                </c:pt>
                <c:pt idx="6">
                  <c:v>1438</c:v>
                </c:pt>
                <c:pt idx="7">
                  <c:v>1714</c:v>
                </c:pt>
                <c:pt idx="8">
                  <c:v>1951</c:v>
                </c:pt>
                <c:pt idx="9">
                  <c:v>2182</c:v>
                </c:pt>
                <c:pt idx="10">
                  <c:v>2420</c:v>
                </c:pt>
                <c:pt idx="11">
                  <c:v>2685</c:v>
                </c:pt>
                <c:pt idx="12">
                  <c:v>2942</c:v>
                </c:pt>
                <c:pt idx="13">
                  <c:v>3189</c:v>
                </c:pt>
                <c:pt idx="14">
                  <c:v>3443</c:v>
                </c:pt>
                <c:pt idx="15">
                  <c:v>3604</c:v>
                </c:pt>
                <c:pt idx="16">
                  <c:v>3754</c:v>
                </c:pt>
                <c:pt idx="17">
                  <c:v>3995</c:v>
                </c:pt>
                <c:pt idx="18">
                  <c:v>4236</c:v>
                </c:pt>
                <c:pt idx="19">
                  <c:v>4478</c:v>
                </c:pt>
                <c:pt idx="20">
                  <c:v>4727</c:v>
                </c:pt>
                <c:pt idx="21">
                  <c:v>4917</c:v>
                </c:pt>
                <c:pt idx="22">
                  <c:v>5136</c:v>
                </c:pt>
                <c:pt idx="23">
                  <c:v>5376</c:v>
                </c:pt>
                <c:pt idx="24">
                  <c:v>5612</c:v>
                </c:pt>
                <c:pt idx="25">
                  <c:v>5884</c:v>
                </c:pt>
              </c:numCache>
            </c:numRef>
          </c:yVal>
          <c:smooth val="1"/>
          <c:extLst>
            <c:ext xmlns:c16="http://schemas.microsoft.com/office/drawing/2014/chart" uri="{C3380CC4-5D6E-409C-BE32-E72D297353CC}">
              <c16:uniqueId val="{00000001-7A6A-4B05-AF8D-632D69E548DC}"/>
            </c:ext>
          </c:extLst>
        </c:ser>
        <c:ser>
          <c:idx val="1"/>
          <c:order val="2"/>
          <c:tx>
            <c:strRef>
              <c:f>'W RadOnc FSA'!$N$2</c:f>
              <c:strCache>
                <c:ptCount val="1"/>
                <c:pt idx="0">
                  <c:v>2020</c:v>
                </c:pt>
              </c:strCache>
            </c:strRef>
          </c:tx>
          <c:spPr>
            <a:ln w="19050" cap="rnd">
              <a:solidFill>
                <a:schemeClr val="accent2"/>
              </a:solidFill>
              <a:round/>
            </a:ln>
            <a:effectLst/>
          </c:spPr>
          <c:marker>
            <c:symbol val="none"/>
          </c:marker>
          <c:xVal>
            <c:numRef>
              <c:f>'W RadOnc FSA'!$A$3:$A$28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'W RadOnc FSA'!$N$3:$N$19</c:f>
              <c:numCache>
                <c:formatCode>General</c:formatCode>
                <c:ptCount val="17"/>
                <c:pt idx="0">
                  <c:v>171</c:v>
                </c:pt>
                <c:pt idx="1">
                  <c:v>405</c:v>
                </c:pt>
                <c:pt idx="2">
                  <c:v>613</c:v>
                </c:pt>
                <c:pt idx="3">
                  <c:v>842</c:v>
                </c:pt>
                <c:pt idx="4">
                  <c:v>1082</c:v>
                </c:pt>
                <c:pt idx="5">
                  <c:v>1273</c:v>
                </c:pt>
                <c:pt idx="6">
                  <c:v>1509</c:v>
                </c:pt>
                <c:pt idx="7">
                  <c:v>1743</c:v>
                </c:pt>
                <c:pt idx="8">
                  <c:v>2009</c:v>
                </c:pt>
                <c:pt idx="9">
                  <c:v>2264</c:v>
                </c:pt>
                <c:pt idx="10">
                  <c:v>2513</c:v>
                </c:pt>
                <c:pt idx="11">
                  <c:v>2747</c:v>
                </c:pt>
                <c:pt idx="12">
                  <c:v>2996</c:v>
                </c:pt>
                <c:pt idx="13">
                  <c:v>3241</c:v>
                </c:pt>
                <c:pt idx="14">
                  <c:v>3403</c:v>
                </c:pt>
                <c:pt idx="15">
                  <c:v>3616</c:v>
                </c:pt>
                <c:pt idx="16">
                  <c:v>3822</c:v>
                </c:pt>
              </c:numCache>
            </c:numRef>
          </c:yVal>
          <c:smooth val="1"/>
          <c:extLst>
            <c:ext xmlns:c16="http://schemas.microsoft.com/office/drawing/2014/chart" uri="{C3380CC4-5D6E-409C-BE32-E72D297353CC}">
              <c16:uniqueId val="{00000002-7A6A-4B05-AF8D-632D69E548DC}"/>
            </c:ext>
          </c:extLst>
        </c:ser>
        <c:ser>
          <c:idx val="3"/>
          <c:order val="3"/>
          <c:tx>
            <c:v>Level 4</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7A6A-4B05-AF8D-632D69E548DC}"/>
                </c:ext>
              </c:extLst>
            </c:dLbl>
            <c:dLbl>
              <c:idx val="1"/>
              <c:layout>
                <c:manualLayout>
                  <c:x val="-8.0815494393476114E-2"/>
                  <c:y val="-4.1122776319626797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7A6A-4B05-AF8D-632D69E548DC}"/>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'W RadOnc FSA'!$V$4:$V$5</c:f>
              <c:numCache>
                <c:formatCode>General</c:formatCode>
                <c:ptCount val="2"/>
                <c:pt idx="0">
                  <c:v>12</c:v>
                </c:pt>
                <c:pt idx="1">
                  <c:v>12</c:v>
                </c:pt>
              </c:numCache>
            </c:numRef>
          </c:xVal>
          <c:yVal>
            <c:numRef>
              <c:f>'W RadOnc FSA'!$W$4:$W$5</c:f>
              <c:numCache>
                <c:formatCode>General</c:formatCode>
                <c:ptCount val="2"/>
                <c:pt idx="0">
                  <c:v>0</c:v>
                </c:pt>
                <c:pt idx="1">
                  <c:v>5884</c:v>
                </c:pt>
              </c:numCache>
            </c:numRef>
          </c:yVal>
          <c:smooth val="1"/>
          <c:extLst>
            <c:ext xmlns:c16="http://schemas.microsoft.com/office/drawing/2014/chart" uri="{C3380CC4-5D6E-409C-BE32-E72D297353CC}">
              <c16:uniqueId val="{00000004-7A6A-4B05-AF8D-632D69E548DC}"/>
            </c:ext>
          </c:extLst>
        </c:ser>
        <c:ser>
          <c:idx val="4"/>
          <c:order val="4"/>
          <c:tx>
            <c:v>Level 3</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5-7A6A-4B05-AF8D-632D69E548DC}"/>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'W RadOnc FSA'!$V$7:$V$8</c:f>
              <c:numCache>
                <c:formatCode>General</c:formatCode>
                <c:ptCount val="2"/>
                <c:pt idx="0">
                  <c:v>17</c:v>
                </c:pt>
                <c:pt idx="1">
                  <c:v>17</c:v>
                </c:pt>
              </c:numCache>
            </c:numRef>
          </c:xVal>
          <c:yVal>
            <c:numRef>
              <c:f>'W RadOnc FSA'!$W$7:$W$8</c:f>
              <c:numCache>
                <c:formatCode>General</c:formatCode>
                <c:ptCount val="2"/>
                <c:pt idx="0">
                  <c:v>0</c:v>
                </c:pt>
                <c:pt idx="1">
                  <c:v>5295.6</c:v>
                </c:pt>
              </c:numCache>
            </c:numRef>
          </c:yVal>
          <c:smooth val="1"/>
          <c:extLst>
            <c:ext xmlns:c16="http://schemas.microsoft.com/office/drawing/2014/chart" uri="{C3380CC4-5D6E-409C-BE32-E72D297353CC}">
              <c16:uniqueId val="{00000006-7A6A-4B05-AF8D-632D69E548DC}"/>
            </c:ext>
          </c:extLst>
        </c:ser>
        <c:dLbls>
          <c:showLegendKey val="0"/>
          <c:showVal val="0"/>
          <c:showCatName val="0"/>
          <c:showSerName val="0"/>
          <c:showPercent val="0"/>
          <c:showBubbleSize val="0"/>
        </c:dLbls>
        <c:axId val="419949736"/>
        <c:axId val="419954000"/>
      </c:scatterChart>
      <c:valAx>
        <c:axId val="419949736"/>
        <c:scaling>
          <c:orientation val="minMax"/>
          <c:max val="27"/>
          <c:min val="1"/>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a:t>Week</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54000"/>
        <c:crosses val="autoZero"/>
        <c:crossBetween val="midCat"/>
        <c:majorUnit val="2"/>
      </c:valAx>
      <c:valAx>
        <c:axId val="419954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Cumulative number of FSAs</a:t>
                </a:r>
              </a:p>
            </c:rich>
          </c:tx>
          <c:layout>
            <c:manualLayout>
              <c:xMode val="edge"/>
              <c:yMode val="edge"/>
              <c:x val="4.0774719673802244E-2"/>
              <c:y val="0.2990405365995916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midCat"/>
      </c:valAx>
      <c:spPr>
        <a:noFill/>
        <a:ln>
          <a:noFill/>
        </a:ln>
        <a:effectLst/>
      </c:spPr>
    </c:plotArea>
    <c:legend>
      <c:legendPos val="t"/>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Cumulative radiation oncology FSAs - Māori</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2"/>
          <c:order val="0"/>
          <c:tx>
            <c:v>2018</c:v>
          </c:tx>
          <c:spPr>
            <a:ln w="19050" cap="rnd">
              <a:solidFill>
                <a:schemeClr val="accent3"/>
              </a:solidFill>
              <a:round/>
            </a:ln>
            <a:effectLst/>
          </c:spPr>
          <c:marker>
            <c:symbol val="none"/>
          </c:marker>
          <c:xVal>
            <c:numRef>
              <c:f>'W RadOnc FSA'!$A$3:$A$28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'W RadOnc FSA'!$O$3:$O$28</c:f>
              <c:numCache>
                <c:formatCode>General</c:formatCode>
                <c:ptCount val="26"/>
                <c:pt idx="0">
                  <c:v>7</c:v>
                </c:pt>
                <c:pt idx="1">
                  <c:v>33</c:v>
                </c:pt>
                <c:pt idx="2">
                  <c:v>58</c:v>
                </c:pt>
                <c:pt idx="3">
                  <c:v>78</c:v>
                </c:pt>
                <c:pt idx="4">
                  <c:v>104</c:v>
                </c:pt>
                <c:pt idx="5">
                  <c:v>127</c:v>
                </c:pt>
                <c:pt idx="6">
                  <c:v>158</c:v>
                </c:pt>
                <c:pt idx="7">
                  <c:v>191</c:v>
                </c:pt>
                <c:pt idx="8">
                  <c:v>216</c:v>
                </c:pt>
                <c:pt idx="9">
                  <c:v>247</c:v>
                </c:pt>
                <c:pt idx="10">
                  <c:v>280</c:v>
                </c:pt>
                <c:pt idx="11">
                  <c:v>302</c:v>
                </c:pt>
                <c:pt idx="12">
                  <c:v>315</c:v>
                </c:pt>
                <c:pt idx="13">
                  <c:v>342</c:v>
                </c:pt>
                <c:pt idx="14">
                  <c:v>370</c:v>
                </c:pt>
                <c:pt idx="15">
                  <c:v>395</c:v>
                </c:pt>
                <c:pt idx="16">
                  <c:v>413</c:v>
                </c:pt>
                <c:pt idx="17">
                  <c:v>448</c:v>
                </c:pt>
                <c:pt idx="18">
                  <c:v>473</c:v>
                </c:pt>
                <c:pt idx="19">
                  <c:v>500</c:v>
                </c:pt>
                <c:pt idx="20">
                  <c:v>524</c:v>
                </c:pt>
                <c:pt idx="21">
                  <c:v>552</c:v>
                </c:pt>
                <c:pt idx="22">
                  <c:v>570</c:v>
                </c:pt>
                <c:pt idx="23">
                  <c:v>609</c:v>
                </c:pt>
                <c:pt idx="24">
                  <c:v>639</c:v>
                </c:pt>
                <c:pt idx="25">
                  <c:v>669</c:v>
                </c:pt>
              </c:numCache>
            </c:numRef>
          </c:yVal>
          <c:smooth val="1"/>
          <c:extLst>
            <c:ext xmlns:c16="http://schemas.microsoft.com/office/drawing/2014/chart" uri="{C3380CC4-5D6E-409C-BE32-E72D297353CC}">
              <c16:uniqueId val="{00000000-D501-401C-BA4D-17072CAF38EA}"/>
            </c:ext>
          </c:extLst>
        </c:ser>
        <c:ser>
          <c:idx val="0"/>
          <c:order val="1"/>
          <c:tx>
            <c:v>2019</c:v>
          </c:tx>
          <c:spPr>
            <a:ln w="19050" cap="rnd">
              <a:solidFill>
                <a:schemeClr val="accent1"/>
              </a:solidFill>
              <a:round/>
            </a:ln>
            <a:effectLst/>
          </c:spPr>
          <c:marker>
            <c:symbol val="none"/>
          </c:marker>
          <c:xVal>
            <c:numRef>
              <c:f>'W RadOnc FSA'!$A$3:$A$28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'W RadOnc FSA'!$P$3:$P$28</c:f>
              <c:numCache>
                <c:formatCode>General</c:formatCode>
                <c:ptCount val="26"/>
                <c:pt idx="0">
                  <c:v>15</c:v>
                </c:pt>
                <c:pt idx="1">
                  <c:v>45</c:v>
                </c:pt>
                <c:pt idx="2">
                  <c:v>76</c:v>
                </c:pt>
                <c:pt idx="3">
                  <c:v>97</c:v>
                </c:pt>
                <c:pt idx="4">
                  <c:v>120</c:v>
                </c:pt>
                <c:pt idx="5">
                  <c:v>139</c:v>
                </c:pt>
                <c:pt idx="6">
                  <c:v>174</c:v>
                </c:pt>
                <c:pt idx="7">
                  <c:v>207</c:v>
                </c:pt>
                <c:pt idx="8">
                  <c:v>228</c:v>
                </c:pt>
                <c:pt idx="9">
                  <c:v>254</c:v>
                </c:pt>
                <c:pt idx="10">
                  <c:v>277</c:v>
                </c:pt>
                <c:pt idx="11">
                  <c:v>294</c:v>
                </c:pt>
                <c:pt idx="12">
                  <c:v>325</c:v>
                </c:pt>
                <c:pt idx="13">
                  <c:v>353</c:v>
                </c:pt>
                <c:pt idx="14">
                  <c:v>386</c:v>
                </c:pt>
                <c:pt idx="15">
                  <c:v>405</c:v>
                </c:pt>
                <c:pt idx="16">
                  <c:v>424</c:v>
                </c:pt>
                <c:pt idx="17">
                  <c:v>456</c:v>
                </c:pt>
                <c:pt idx="18">
                  <c:v>477</c:v>
                </c:pt>
                <c:pt idx="19">
                  <c:v>498</c:v>
                </c:pt>
                <c:pt idx="20">
                  <c:v>540</c:v>
                </c:pt>
                <c:pt idx="21">
                  <c:v>567</c:v>
                </c:pt>
                <c:pt idx="22">
                  <c:v>591</c:v>
                </c:pt>
                <c:pt idx="23">
                  <c:v>624</c:v>
                </c:pt>
                <c:pt idx="24">
                  <c:v>650</c:v>
                </c:pt>
                <c:pt idx="25">
                  <c:v>683</c:v>
                </c:pt>
              </c:numCache>
            </c:numRef>
          </c:yVal>
          <c:smooth val="1"/>
          <c:extLst>
            <c:ext xmlns:c16="http://schemas.microsoft.com/office/drawing/2014/chart" uri="{C3380CC4-5D6E-409C-BE32-E72D297353CC}">
              <c16:uniqueId val="{00000001-D501-401C-BA4D-17072CAF38EA}"/>
            </c:ext>
          </c:extLst>
        </c:ser>
        <c:ser>
          <c:idx val="1"/>
          <c:order val="2"/>
          <c:tx>
            <c:v>2020</c:v>
          </c:tx>
          <c:spPr>
            <a:ln w="19050" cap="rnd">
              <a:solidFill>
                <a:schemeClr val="accent2"/>
              </a:solidFill>
              <a:round/>
            </a:ln>
            <a:effectLst/>
          </c:spPr>
          <c:marker>
            <c:symbol val="none"/>
          </c:marker>
          <c:xVal>
            <c:numRef>
              <c:f>'W RadOnc FSA'!$A$3:$A$28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'W RadOnc FSA'!$Q$3:$Q$19</c:f>
              <c:numCache>
                <c:formatCode>General</c:formatCode>
                <c:ptCount val="17"/>
                <c:pt idx="0">
                  <c:v>13</c:v>
                </c:pt>
                <c:pt idx="1">
                  <c:v>41</c:v>
                </c:pt>
                <c:pt idx="2">
                  <c:v>70</c:v>
                </c:pt>
                <c:pt idx="3">
                  <c:v>100</c:v>
                </c:pt>
                <c:pt idx="4">
                  <c:v>133</c:v>
                </c:pt>
                <c:pt idx="5">
                  <c:v>148</c:v>
                </c:pt>
                <c:pt idx="6">
                  <c:v>176</c:v>
                </c:pt>
                <c:pt idx="7">
                  <c:v>198</c:v>
                </c:pt>
                <c:pt idx="8">
                  <c:v>225</c:v>
                </c:pt>
                <c:pt idx="9">
                  <c:v>250</c:v>
                </c:pt>
                <c:pt idx="10">
                  <c:v>284</c:v>
                </c:pt>
                <c:pt idx="11">
                  <c:v>314</c:v>
                </c:pt>
                <c:pt idx="12">
                  <c:v>338</c:v>
                </c:pt>
                <c:pt idx="13">
                  <c:v>365</c:v>
                </c:pt>
                <c:pt idx="14">
                  <c:v>384</c:v>
                </c:pt>
                <c:pt idx="15">
                  <c:v>422</c:v>
                </c:pt>
                <c:pt idx="16">
                  <c:v>451</c:v>
                </c:pt>
              </c:numCache>
            </c:numRef>
          </c:yVal>
          <c:smooth val="1"/>
          <c:extLst>
            <c:ext xmlns:c16="http://schemas.microsoft.com/office/drawing/2014/chart" uri="{C3380CC4-5D6E-409C-BE32-E72D297353CC}">
              <c16:uniqueId val="{00000002-D501-401C-BA4D-17072CAF38EA}"/>
            </c:ext>
          </c:extLst>
        </c:ser>
        <c:ser>
          <c:idx val="3"/>
          <c:order val="3"/>
          <c:tx>
            <c:v>Level 4</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D501-401C-BA4D-17072CAF38EA}"/>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'W RadOnc FSA'!$V$4:$V$5</c:f>
              <c:numCache>
                <c:formatCode>General</c:formatCode>
                <c:ptCount val="2"/>
                <c:pt idx="0">
                  <c:v>12</c:v>
                </c:pt>
                <c:pt idx="1">
                  <c:v>12</c:v>
                </c:pt>
              </c:numCache>
            </c:numRef>
          </c:xVal>
          <c:yVal>
            <c:numRef>
              <c:f>'W RadOnc FSA'!$X$4:$X$5</c:f>
              <c:numCache>
                <c:formatCode>General</c:formatCode>
                <c:ptCount val="2"/>
                <c:pt idx="0">
                  <c:v>0</c:v>
                </c:pt>
                <c:pt idx="1">
                  <c:v>683</c:v>
                </c:pt>
              </c:numCache>
            </c:numRef>
          </c:yVal>
          <c:smooth val="1"/>
          <c:extLst>
            <c:ext xmlns:c16="http://schemas.microsoft.com/office/drawing/2014/chart" uri="{C3380CC4-5D6E-409C-BE32-E72D297353CC}">
              <c16:uniqueId val="{00000004-D501-401C-BA4D-17072CAF38EA}"/>
            </c:ext>
          </c:extLst>
        </c:ser>
        <c:ser>
          <c:idx val="4"/>
          <c:order val="4"/>
          <c:tx>
            <c:v>Level 3</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5-D501-401C-BA4D-17072CAF38EA}"/>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'W RadOnc FSA'!$V$7:$V$8</c:f>
              <c:numCache>
                <c:formatCode>General</c:formatCode>
                <c:ptCount val="2"/>
                <c:pt idx="0">
                  <c:v>17</c:v>
                </c:pt>
                <c:pt idx="1">
                  <c:v>17</c:v>
                </c:pt>
              </c:numCache>
            </c:numRef>
          </c:xVal>
          <c:yVal>
            <c:numRef>
              <c:f>'W RadOnc FSA'!$X$7:$X$8</c:f>
              <c:numCache>
                <c:formatCode>General</c:formatCode>
                <c:ptCount val="2"/>
                <c:pt idx="0">
                  <c:v>0</c:v>
                </c:pt>
                <c:pt idx="1">
                  <c:v>614.70000000000005</c:v>
                </c:pt>
              </c:numCache>
            </c:numRef>
          </c:yVal>
          <c:smooth val="1"/>
          <c:extLst>
            <c:ext xmlns:c16="http://schemas.microsoft.com/office/drawing/2014/chart" uri="{C3380CC4-5D6E-409C-BE32-E72D297353CC}">
              <c16:uniqueId val="{00000006-D501-401C-BA4D-17072CAF38EA}"/>
            </c:ext>
          </c:extLst>
        </c:ser>
        <c:dLbls>
          <c:showLegendKey val="0"/>
          <c:showVal val="0"/>
          <c:showCatName val="0"/>
          <c:showSerName val="0"/>
          <c:showPercent val="0"/>
          <c:showBubbleSize val="0"/>
        </c:dLbls>
        <c:axId val="419949736"/>
        <c:axId val="419954000"/>
      </c:scatterChart>
      <c:valAx>
        <c:axId val="419949736"/>
        <c:scaling>
          <c:orientation val="minMax"/>
          <c:max val="27"/>
          <c:min val="1"/>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a:t>Week</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54000"/>
        <c:crosses val="autoZero"/>
        <c:crossBetween val="midCat"/>
        <c:majorUnit val="2"/>
      </c:valAx>
      <c:valAx>
        <c:axId val="419954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Cumulative number of FSAs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midCat"/>
      </c:valAx>
      <c:spPr>
        <a:noFill/>
        <a:ln>
          <a:noFill/>
        </a:ln>
        <a:effectLst/>
      </c:spPr>
    </c:plotArea>
    <c:legend>
      <c:legendPos val="t"/>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00" b="0" i="0" u="none" strike="noStrike" kern="1200" spc="0" baseline="0">
                <a:solidFill>
                  <a:schemeClr val="tx1">
                    <a:lumMod val="65000"/>
                    <a:lumOff val="35000"/>
                  </a:schemeClr>
                </a:solidFill>
                <a:latin typeface="+mn-lt"/>
                <a:ea typeface="+mn-ea"/>
                <a:cs typeface="+mn-cs"/>
              </a:defRPr>
            </a:pPr>
            <a:r>
              <a:rPr lang="en-NZ" sz="1000"/>
              <a:t>Gastroscopy and colonoscopy procedures</a:t>
            </a:r>
            <a:r>
              <a:rPr lang="en-NZ" sz="1000" baseline="0"/>
              <a:t> </a:t>
            </a:r>
            <a:r>
              <a:rPr lang="en-NZ" sz="1000"/>
              <a:t>- Māori</a:t>
            </a:r>
          </a:p>
        </c:rich>
      </c:tx>
      <c:overlay val="0"/>
      <c:spPr>
        <a:noFill/>
        <a:ln>
          <a:noFill/>
        </a:ln>
        <a:effectLst/>
      </c:spPr>
      <c:txPr>
        <a:bodyPr rot="0" spcFirstLastPara="1" vertOverflow="ellipsis" vert="horz" wrap="square" anchor="ctr" anchorCtr="1"/>
        <a:lstStyle/>
        <a:p>
          <a:pPr algn="ctr" rtl="0">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0"/>
          <c:tx>
            <c:v>2018</c:v>
          </c:tx>
          <c:spPr>
            <a:solidFill>
              <a:schemeClr val="accent3"/>
            </a:solidFill>
            <a:ln>
              <a:noFill/>
            </a:ln>
            <a:effectLst/>
          </c:spPr>
          <c:invertIfNegative val="0"/>
          <c:val>
            <c:numRef>
              <c:f>'M Scopes'!$F$2:$F$5</c:f>
              <c:numCache>
                <c:formatCode>General</c:formatCode>
                <c:ptCount val="4"/>
                <c:pt idx="0">
                  <c:v>382</c:v>
                </c:pt>
                <c:pt idx="1">
                  <c:v>444</c:v>
                </c:pt>
                <c:pt idx="2">
                  <c:v>474</c:v>
                </c:pt>
                <c:pt idx="3">
                  <c:v>460</c:v>
                </c:pt>
              </c:numCache>
            </c:numRef>
          </c:val>
          <c:extLst>
            <c:ext xmlns:c16="http://schemas.microsoft.com/office/drawing/2014/chart" uri="{C3380CC4-5D6E-409C-BE32-E72D297353CC}">
              <c16:uniqueId val="{00000000-BCFF-4789-AB6B-A2C4EB86616F}"/>
            </c:ext>
          </c:extLst>
        </c:ser>
        <c:ser>
          <c:idx val="0"/>
          <c:order val="1"/>
          <c:tx>
            <c:v>2019</c:v>
          </c:tx>
          <c:spPr>
            <a:solidFill>
              <a:schemeClr val="accent1"/>
            </a:solidFill>
            <a:ln>
              <a:noFill/>
            </a:ln>
            <a:effectLst/>
          </c:spPr>
          <c:invertIfNegative val="0"/>
          <c:cat>
            <c:strRef>
              <c:f>'M Scopes'!$A$2:$A$5</c:f>
              <c:strCache>
                <c:ptCount val="4"/>
                <c:pt idx="0">
                  <c:v>Jan</c:v>
                </c:pt>
                <c:pt idx="1">
                  <c:v>Feb</c:v>
                </c:pt>
                <c:pt idx="2">
                  <c:v>Mar</c:v>
                </c:pt>
                <c:pt idx="3">
                  <c:v>Apr</c:v>
                </c:pt>
              </c:strCache>
            </c:strRef>
          </c:cat>
          <c:val>
            <c:numRef>
              <c:f>'M Scopes'!$G$2:$G$5</c:f>
              <c:numCache>
                <c:formatCode>General</c:formatCode>
                <c:ptCount val="4"/>
                <c:pt idx="0">
                  <c:v>513</c:v>
                </c:pt>
                <c:pt idx="1">
                  <c:v>527</c:v>
                </c:pt>
                <c:pt idx="2">
                  <c:v>563</c:v>
                </c:pt>
                <c:pt idx="3">
                  <c:v>521</c:v>
                </c:pt>
              </c:numCache>
            </c:numRef>
          </c:val>
          <c:extLst>
            <c:ext xmlns:c16="http://schemas.microsoft.com/office/drawing/2014/chart" uri="{C3380CC4-5D6E-409C-BE32-E72D297353CC}">
              <c16:uniqueId val="{00000001-BCFF-4789-AB6B-A2C4EB86616F}"/>
            </c:ext>
          </c:extLst>
        </c:ser>
        <c:ser>
          <c:idx val="1"/>
          <c:order val="2"/>
          <c:tx>
            <c:v>2020</c:v>
          </c:tx>
          <c:spPr>
            <a:solidFill>
              <a:schemeClr val="accent2"/>
            </a:solidFill>
            <a:ln>
              <a:noFill/>
            </a:ln>
            <a:effectLst/>
          </c:spPr>
          <c:invertIfNegative val="0"/>
          <c:val>
            <c:numRef>
              <c:f>'M Scopes'!$H$2:$H$5</c:f>
              <c:numCache>
                <c:formatCode>General</c:formatCode>
                <c:ptCount val="4"/>
                <c:pt idx="0">
                  <c:v>541</c:v>
                </c:pt>
                <c:pt idx="1">
                  <c:v>612</c:v>
                </c:pt>
                <c:pt idx="2">
                  <c:v>541</c:v>
                </c:pt>
                <c:pt idx="3">
                  <c:v>150</c:v>
                </c:pt>
              </c:numCache>
            </c:numRef>
          </c:val>
          <c:extLst>
            <c:ext xmlns:c16="http://schemas.microsoft.com/office/drawing/2014/chart" uri="{C3380CC4-5D6E-409C-BE32-E72D297353CC}">
              <c16:uniqueId val="{00000002-BCFF-4789-AB6B-A2C4EB86616F}"/>
            </c:ext>
          </c:extLst>
        </c:ser>
        <c:dLbls>
          <c:showLegendKey val="0"/>
          <c:showVal val="0"/>
          <c:showCatName val="0"/>
          <c:showSerName val="0"/>
          <c:showPercent val="0"/>
          <c:showBubbleSize val="0"/>
        </c:dLbls>
        <c:gapWidth val="219"/>
        <c:overlap val="-27"/>
        <c:axId val="419937272"/>
        <c:axId val="419937928"/>
      </c:barChart>
      <c:catAx>
        <c:axId val="419937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37928"/>
        <c:crosses val="autoZero"/>
        <c:auto val="1"/>
        <c:lblAlgn val="ctr"/>
        <c:lblOffset val="100"/>
        <c:noMultiLvlLbl val="0"/>
      </c:catAx>
      <c:valAx>
        <c:axId val="419937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a:t>Number of procedures</a:t>
                </a:r>
              </a:p>
            </c:rich>
          </c:tx>
          <c:layout>
            <c:manualLayout>
              <c:xMode val="edge"/>
              <c:yMode val="edge"/>
              <c:x val="3.3105731429753774E-2"/>
              <c:y val="0.3984633841370687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37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00" b="0" i="0" u="none" strike="noStrike" kern="1200" spc="0" baseline="0">
                <a:solidFill>
                  <a:schemeClr val="tx1">
                    <a:lumMod val="65000"/>
                    <a:lumOff val="35000"/>
                  </a:schemeClr>
                </a:solidFill>
                <a:latin typeface="+mn-lt"/>
                <a:ea typeface="+mn-ea"/>
                <a:cs typeface="+mn-cs"/>
              </a:defRPr>
            </a:pPr>
            <a:r>
              <a:rPr lang="en-NZ" sz="1000"/>
              <a:t>Megavoltage attendances - total population</a:t>
            </a:r>
          </a:p>
        </c:rich>
      </c:tx>
      <c:layout>
        <c:manualLayout>
          <c:xMode val="edge"/>
          <c:yMode val="edge"/>
          <c:x val="0.1457985564304462"/>
          <c:y val="1.384083044982699E-2"/>
        </c:manualLayout>
      </c:layout>
      <c:overlay val="0"/>
      <c:spPr>
        <a:noFill/>
        <a:ln>
          <a:noFill/>
        </a:ln>
        <a:effectLst/>
      </c:spPr>
      <c:txPr>
        <a:bodyPr rot="0" spcFirstLastPara="1" vertOverflow="ellipsis" vert="horz" wrap="square" anchor="ctr" anchorCtr="1"/>
        <a:lstStyle/>
        <a:p>
          <a:pPr algn="ctr" rtl="0">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551114400332876"/>
          <c:y val="0.20478580315868822"/>
          <c:w val="0.78011612505677608"/>
          <c:h val="0.69675176416096773"/>
        </c:manualLayout>
      </c:layout>
      <c:barChart>
        <c:barDir val="col"/>
        <c:grouping val="clustered"/>
        <c:varyColors val="0"/>
        <c:ser>
          <c:idx val="2"/>
          <c:order val="0"/>
          <c:tx>
            <c:strRef>
              <c:f>MFractions!$B$1</c:f>
              <c:strCache>
                <c:ptCount val="1"/>
                <c:pt idx="0">
                  <c:v>2018</c:v>
                </c:pt>
              </c:strCache>
            </c:strRef>
          </c:tx>
          <c:spPr>
            <a:solidFill>
              <a:schemeClr val="accent3"/>
            </a:solidFill>
            <a:ln>
              <a:noFill/>
            </a:ln>
            <a:effectLst/>
          </c:spPr>
          <c:invertIfNegative val="0"/>
          <c:val>
            <c:numRef>
              <c:f>MFractions!$B$2:$B$5</c:f>
              <c:numCache>
                <c:formatCode>General</c:formatCode>
                <c:ptCount val="4"/>
                <c:pt idx="0">
                  <c:v>13019</c:v>
                </c:pt>
                <c:pt idx="1">
                  <c:v>12134</c:v>
                </c:pt>
                <c:pt idx="2">
                  <c:v>13440</c:v>
                </c:pt>
                <c:pt idx="3">
                  <c:v>13022</c:v>
                </c:pt>
              </c:numCache>
            </c:numRef>
          </c:val>
          <c:extLst>
            <c:ext xmlns:c16="http://schemas.microsoft.com/office/drawing/2014/chart" uri="{C3380CC4-5D6E-409C-BE32-E72D297353CC}">
              <c16:uniqueId val="{00000000-0971-4A48-B932-753191CF0B0D}"/>
            </c:ext>
          </c:extLst>
        </c:ser>
        <c:ser>
          <c:idx val="0"/>
          <c:order val="1"/>
          <c:tx>
            <c:strRef>
              <c:f>MFractions!$C$1</c:f>
              <c:strCache>
                <c:ptCount val="1"/>
                <c:pt idx="0">
                  <c:v>2019</c:v>
                </c:pt>
              </c:strCache>
            </c:strRef>
          </c:tx>
          <c:spPr>
            <a:solidFill>
              <a:schemeClr val="accent1"/>
            </a:solidFill>
            <a:ln>
              <a:noFill/>
            </a:ln>
            <a:effectLst/>
          </c:spPr>
          <c:invertIfNegative val="0"/>
          <c:cat>
            <c:strRef>
              <c:f>MFractions!$A$2:$A$5</c:f>
              <c:strCache>
                <c:ptCount val="4"/>
                <c:pt idx="0">
                  <c:v>Jan</c:v>
                </c:pt>
                <c:pt idx="1">
                  <c:v>Feb</c:v>
                </c:pt>
                <c:pt idx="2">
                  <c:v>Mar</c:v>
                </c:pt>
                <c:pt idx="3">
                  <c:v>Apr</c:v>
                </c:pt>
              </c:strCache>
            </c:strRef>
          </c:cat>
          <c:val>
            <c:numRef>
              <c:f>MFractions!$C$2:$C$5</c:f>
              <c:numCache>
                <c:formatCode>General</c:formatCode>
                <c:ptCount val="4"/>
                <c:pt idx="0">
                  <c:v>12987</c:v>
                </c:pt>
                <c:pt idx="1">
                  <c:v>11877</c:v>
                </c:pt>
                <c:pt idx="2">
                  <c:v>13035</c:v>
                </c:pt>
                <c:pt idx="3">
                  <c:v>12258</c:v>
                </c:pt>
              </c:numCache>
            </c:numRef>
          </c:val>
          <c:extLst>
            <c:ext xmlns:c16="http://schemas.microsoft.com/office/drawing/2014/chart" uri="{C3380CC4-5D6E-409C-BE32-E72D297353CC}">
              <c16:uniqueId val="{00000001-0971-4A48-B932-753191CF0B0D}"/>
            </c:ext>
          </c:extLst>
        </c:ser>
        <c:ser>
          <c:idx val="1"/>
          <c:order val="2"/>
          <c:tx>
            <c:strRef>
              <c:f>MFractions!$D$1</c:f>
              <c:strCache>
                <c:ptCount val="1"/>
                <c:pt idx="0">
                  <c:v>2020</c:v>
                </c:pt>
              </c:strCache>
            </c:strRef>
          </c:tx>
          <c:spPr>
            <a:solidFill>
              <a:schemeClr val="accent2"/>
            </a:solidFill>
            <a:ln>
              <a:noFill/>
            </a:ln>
            <a:effectLst/>
          </c:spPr>
          <c:invertIfNegative val="0"/>
          <c:val>
            <c:numRef>
              <c:f>MFractions!$D$2:$D$5</c:f>
              <c:numCache>
                <c:formatCode>General</c:formatCode>
                <c:ptCount val="4"/>
                <c:pt idx="0">
                  <c:v>12654</c:v>
                </c:pt>
                <c:pt idx="1">
                  <c:v>11437</c:v>
                </c:pt>
                <c:pt idx="2">
                  <c:v>12773</c:v>
                </c:pt>
                <c:pt idx="3">
                  <c:v>9926</c:v>
                </c:pt>
              </c:numCache>
            </c:numRef>
          </c:val>
          <c:extLst>
            <c:ext xmlns:c16="http://schemas.microsoft.com/office/drawing/2014/chart" uri="{C3380CC4-5D6E-409C-BE32-E72D297353CC}">
              <c16:uniqueId val="{00000002-0971-4A48-B932-753191CF0B0D}"/>
            </c:ext>
          </c:extLst>
        </c:ser>
        <c:dLbls>
          <c:showLegendKey val="0"/>
          <c:showVal val="0"/>
          <c:showCatName val="0"/>
          <c:showSerName val="0"/>
          <c:showPercent val="0"/>
          <c:showBubbleSize val="0"/>
        </c:dLbls>
        <c:gapWidth val="219"/>
        <c:overlap val="-27"/>
        <c:axId val="419937272"/>
        <c:axId val="419937928"/>
      </c:barChart>
      <c:catAx>
        <c:axId val="419937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37928"/>
        <c:crosses val="autoZero"/>
        <c:auto val="1"/>
        <c:lblAlgn val="ctr"/>
        <c:lblOffset val="100"/>
        <c:noMultiLvlLbl val="0"/>
      </c:catAx>
      <c:valAx>
        <c:axId val="419937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Number of attendances</a:t>
                </a:r>
              </a:p>
            </c:rich>
          </c:tx>
          <c:layout>
            <c:manualLayout>
              <c:xMode val="edge"/>
              <c:yMode val="edge"/>
              <c:x val="2.0169423154497781E-2"/>
              <c:y val="0.3452607870382983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37272"/>
        <c:crosses val="autoZero"/>
        <c:crossBetween val="between"/>
      </c:valAx>
      <c:spPr>
        <a:noFill/>
        <a:ln>
          <a:noFill/>
        </a:ln>
        <a:effectLst/>
      </c:spPr>
    </c:plotArea>
    <c:legend>
      <c:legendPos val="t"/>
      <c:layout>
        <c:manualLayout>
          <c:xMode val="edge"/>
          <c:yMode val="edge"/>
          <c:x val="0.3143784164938237"/>
          <c:y val="8.8604564567837329E-2"/>
          <c:w val="0.36317539775055346"/>
          <c:h val="7.228291965234449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00" b="0" i="0" u="none" strike="noStrike" kern="1200" spc="0" baseline="0">
                <a:solidFill>
                  <a:schemeClr val="tx1">
                    <a:lumMod val="65000"/>
                    <a:lumOff val="35000"/>
                  </a:schemeClr>
                </a:solidFill>
                <a:latin typeface="+mn-lt"/>
                <a:ea typeface="+mn-ea"/>
                <a:cs typeface="+mn-cs"/>
              </a:defRPr>
            </a:pPr>
            <a:r>
              <a:rPr lang="en-NZ" sz="1000"/>
              <a:t>Megavoltage attendances - Māori</a:t>
            </a:r>
          </a:p>
        </c:rich>
      </c:tx>
      <c:overlay val="0"/>
      <c:spPr>
        <a:noFill/>
        <a:ln>
          <a:noFill/>
        </a:ln>
        <a:effectLst/>
      </c:spPr>
      <c:txPr>
        <a:bodyPr rot="0" spcFirstLastPara="1" vertOverflow="ellipsis" vert="horz" wrap="square" anchor="ctr" anchorCtr="1"/>
        <a:lstStyle/>
        <a:p>
          <a:pPr algn="ctr" rtl="0">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682746294828779"/>
          <c:y val="0.19779636541972045"/>
          <c:w val="0.75606332934293274"/>
          <c:h val="0.70374120189993539"/>
        </c:manualLayout>
      </c:layout>
      <c:barChart>
        <c:barDir val="col"/>
        <c:grouping val="clustered"/>
        <c:varyColors val="0"/>
        <c:ser>
          <c:idx val="2"/>
          <c:order val="0"/>
          <c:tx>
            <c:v>2018</c:v>
          </c:tx>
          <c:spPr>
            <a:solidFill>
              <a:schemeClr val="accent3"/>
            </a:solidFill>
            <a:ln>
              <a:noFill/>
            </a:ln>
            <a:effectLst/>
          </c:spPr>
          <c:invertIfNegative val="0"/>
          <c:val>
            <c:numRef>
              <c:f>MFractions!$F$2:$F$5</c:f>
              <c:numCache>
                <c:formatCode>General</c:formatCode>
                <c:ptCount val="4"/>
                <c:pt idx="0">
                  <c:v>1633</c:v>
                </c:pt>
                <c:pt idx="1">
                  <c:v>1464</c:v>
                </c:pt>
                <c:pt idx="2">
                  <c:v>1842</c:v>
                </c:pt>
                <c:pt idx="3">
                  <c:v>1723</c:v>
                </c:pt>
              </c:numCache>
            </c:numRef>
          </c:val>
          <c:extLst>
            <c:ext xmlns:c16="http://schemas.microsoft.com/office/drawing/2014/chart" uri="{C3380CC4-5D6E-409C-BE32-E72D297353CC}">
              <c16:uniqueId val="{00000000-35EC-4DAC-8C6E-138261B99A63}"/>
            </c:ext>
          </c:extLst>
        </c:ser>
        <c:ser>
          <c:idx val="0"/>
          <c:order val="1"/>
          <c:tx>
            <c:v>2019</c:v>
          </c:tx>
          <c:spPr>
            <a:solidFill>
              <a:schemeClr val="accent1"/>
            </a:solidFill>
            <a:ln>
              <a:noFill/>
            </a:ln>
            <a:effectLst/>
          </c:spPr>
          <c:invertIfNegative val="0"/>
          <c:cat>
            <c:strRef>
              <c:f>MFractions!$A$2:$A$5</c:f>
              <c:strCache>
                <c:ptCount val="4"/>
                <c:pt idx="0">
                  <c:v>Jan</c:v>
                </c:pt>
                <c:pt idx="1">
                  <c:v>Feb</c:v>
                </c:pt>
                <c:pt idx="2">
                  <c:v>Mar</c:v>
                </c:pt>
                <c:pt idx="3">
                  <c:v>Apr</c:v>
                </c:pt>
              </c:strCache>
            </c:strRef>
          </c:cat>
          <c:val>
            <c:numRef>
              <c:f>MFractions!$G$2:$G$5</c:f>
              <c:numCache>
                <c:formatCode>General</c:formatCode>
                <c:ptCount val="4"/>
                <c:pt idx="0">
                  <c:v>1648</c:v>
                </c:pt>
                <c:pt idx="1">
                  <c:v>1484</c:v>
                </c:pt>
                <c:pt idx="2">
                  <c:v>1558</c:v>
                </c:pt>
                <c:pt idx="3">
                  <c:v>1632</c:v>
                </c:pt>
              </c:numCache>
            </c:numRef>
          </c:val>
          <c:extLst>
            <c:ext xmlns:c16="http://schemas.microsoft.com/office/drawing/2014/chart" uri="{C3380CC4-5D6E-409C-BE32-E72D297353CC}">
              <c16:uniqueId val="{00000001-35EC-4DAC-8C6E-138261B99A63}"/>
            </c:ext>
          </c:extLst>
        </c:ser>
        <c:ser>
          <c:idx val="1"/>
          <c:order val="2"/>
          <c:tx>
            <c:v>2020</c:v>
          </c:tx>
          <c:spPr>
            <a:solidFill>
              <a:schemeClr val="accent2"/>
            </a:solidFill>
            <a:ln>
              <a:noFill/>
            </a:ln>
            <a:effectLst/>
          </c:spPr>
          <c:invertIfNegative val="0"/>
          <c:val>
            <c:numRef>
              <c:f>MFractions!$H$2:$H$5</c:f>
              <c:numCache>
                <c:formatCode>General</c:formatCode>
                <c:ptCount val="4"/>
                <c:pt idx="0">
                  <c:v>1556</c:v>
                </c:pt>
                <c:pt idx="1">
                  <c:v>1481</c:v>
                </c:pt>
                <c:pt idx="2">
                  <c:v>1480</c:v>
                </c:pt>
                <c:pt idx="3">
                  <c:v>1247</c:v>
                </c:pt>
              </c:numCache>
            </c:numRef>
          </c:val>
          <c:extLst>
            <c:ext xmlns:c16="http://schemas.microsoft.com/office/drawing/2014/chart" uri="{C3380CC4-5D6E-409C-BE32-E72D297353CC}">
              <c16:uniqueId val="{00000002-35EC-4DAC-8C6E-138261B99A63}"/>
            </c:ext>
          </c:extLst>
        </c:ser>
        <c:dLbls>
          <c:showLegendKey val="0"/>
          <c:showVal val="0"/>
          <c:showCatName val="0"/>
          <c:showSerName val="0"/>
          <c:showPercent val="0"/>
          <c:showBubbleSize val="0"/>
        </c:dLbls>
        <c:gapWidth val="219"/>
        <c:overlap val="-27"/>
        <c:axId val="419937272"/>
        <c:axId val="419937928"/>
      </c:barChart>
      <c:catAx>
        <c:axId val="419937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37928"/>
        <c:crosses val="autoZero"/>
        <c:auto val="1"/>
        <c:lblAlgn val="ctr"/>
        <c:lblOffset val="100"/>
        <c:noMultiLvlLbl val="0"/>
      </c:catAx>
      <c:valAx>
        <c:axId val="419937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Number of attendances</a:t>
                </a:r>
              </a:p>
            </c:rich>
          </c:tx>
          <c:layout>
            <c:manualLayout>
              <c:xMode val="edge"/>
              <c:yMode val="edge"/>
              <c:x val="2.9978586723768737E-2"/>
              <c:y val="0.3775560580878947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37272"/>
        <c:crosses val="autoZero"/>
        <c:crossBetween val="between"/>
      </c:valAx>
      <c:spPr>
        <a:noFill/>
        <a:ln>
          <a:noFill/>
        </a:ln>
        <a:effectLst/>
      </c:spPr>
    </c:plotArea>
    <c:legend>
      <c:legendPos val="t"/>
      <c:layout>
        <c:manualLayout>
          <c:xMode val="edge"/>
          <c:yMode val="edge"/>
          <c:x val="0.30721374496282183"/>
          <c:y val="0.10244539501766431"/>
          <c:w val="0.38557251007435633"/>
          <c:h val="7.228291965234449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Cumulative megavoltge attendances - total population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91921649504132"/>
          <c:y val="0.25961723534558184"/>
          <c:w val="0.74226830577982217"/>
          <c:h val="0.5632837561971421"/>
        </c:manualLayout>
      </c:layout>
      <c:scatterChart>
        <c:scatterStyle val="smoothMarker"/>
        <c:varyColors val="0"/>
        <c:ser>
          <c:idx val="2"/>
          <c:order val="0"/>
          <c:tx>
            <c:strRef>
              <c:f>WFractions!$L$2</c:f>
              <c:strCache>
                <c:ptCount val="1"/>
                <c:pt idx="0">
                  <c:v>2018</c:v>
                </c:pt>
              </c:strCache>
            </c:strRef>
          </c:tx>
          <c:spPr>
            <a:ln w="19050" cap="rnd">
              <a:solidFill>
                <a:schemeClr val="accent3"/>
              </a:solidFill>
              <a:round/>
            </a:ln>
            <a:effectLst/>
          </c:spPr>
          <c:marker>
            <c:symbol val="none"/>
          </c:marker>
          <c:xVal>
            <c:numRef>
              <c:f>WFractions!$A$3:$A$28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WFractions!$L$3:$L$28</c:f>
              <c:numCache>
                <c:formatCode>General</c:formatCode>
                <c:ptCount val="26"/>
                <c:pt idx="0">
                  <c:v>2304</c:v>
                </c:pt>
                <c:pt idx="1">
                  <c:v>5575</c:v>
                </c:pt>
                <c:pt idx="2">
                  <c:v>8763</c:v>
                </c:pt>
                <c:pt idx="3">
                  <c:v>11755</c:v>
                </c:pt>
                <c:pt idx="4">
                  <c:v>14546</c:v>
                </c:pt>
                <c:pt idx="5">
                  <c:v>17243</c:v>
                </c:pt>
                <c:pt idx="6">
                  <c:v>20392</c:v>
                </c:pt>
                <c:pt idx="7">
                  <c:v>23648</c:v>
                </c:pt>
                <c:pt idx="8">
                  <c:v>26694</c:v>
                </c:pt>
                <c:pt idx="9">
                  <c:v>29897</c:v>
                </c:pt>
                <c:pt idx="10">
                  <c:v>33003</c:v>
                </c:pt>
                <c:pt idx="11">
                  <c:v>36158</c:v>
                </c:pt>
                <c:pt idx="12">
                  <c:v>38909</c:v>
                </c:pt>
                <c:pt idx="13">
                  <c:v>41729</c:v>
                </c:pt>
                <c:pt idx="14">
                  <c:v>44932</c:v>
                </c:pt>
                <c:pt idx="15">
                  <c:v>48265</c:v>
                </c:pt>
                <c:pt idx="16">
                  <c:v>51225</c:v>
                </c:pt>
                <c:pt idx="17">
                  <c:v>54679</c:v>
                </c:pt>
                <c:pt idx="18">
                  <c:v>58170</c:v>
                </c:pt>
                <c:pt idx="19">
                  <c:v>61570</c:v>
                </c:pt>
                <c:pt idx="20">
                  <c:v>64861</c:v>
                </c:pt>
                <c:pt idx="21">
                  <c:v>68046</c:v>
                </c:pt>
                <c:pt idx="22">
                  <c:v>70816</c:v>
                </c:pt>
                <c:pt idx="23">
                  <c:v>74224</c:v>
                </c:pt>
                <c:pt idx="24">
                  <c:v>77495</c:v>
                </c:pt>
                <c:pt idx="25">
                  <c:v>80760</c:v>
                </c:pt>
              </c:numCache>
            </c:numRef>
          </c:yVal>
          <c:smooth val="1"/>
          <c:extLst>
            <c:ext xmlns:c16="http://schemas.microsoft.com/office/drawing/2014/chart" uri="{C3380CC4-5D6E-409C-BE32-E72D297353CC}">
              <c16:uniqueId val="{00000000-1B00-49E0-A298-9C59FF657C52}"/>
            </c:ext>
          </c:extLst>
        </c:ser>
        <c:ser>
          <c:idx val="0"/>
          <c:order val="1"/>
          <c:tx>
            <c:strRef>
              <c:f>WFractions!$M$2</c:f>
              <c:strCache>
                <c:ptCount val="1"/>
                <c:pt idx="0">
                  <c:v>2019</c:v>
                </c:pt>
              </c:strCache>
            </c:strRef>
          </c:tx>
          <c:spPr>
            <a:ln w="19050" cap="rnd">
              <a:solidFill>
                <a:schemeClr val="accent1"/>
              </a:solidFill>
              <a:round/>
            </a:ln>
            <a:effectLst/>
          </c:spPr>
          <c:marker>
            <c:symbol val="none"/>
          </c:marker>
          <c:xVal>
            <c:numRef>
              <c:f>WFractions!$A$3:$A$28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WFractions!$M$3:$M$28</c:f>
              <c:numCache>
                <c:formatCode>General</c:formatCode>
                <c:ptCount val="26"/>
                <c:pt idx="0">
                  <c:v>2244</c:v>
                </c:pt>
                <c:pt idx="1">
                  <c:v>5294</c:v>
                </c:pt>
                <c:pt idx="2">
                  <c:v>8293</c:v>
                </c:pt>
                <c:pt idx="3">
                  <c:v>11170</c:v>
                </c:pt>
                <c:pt idx="4">
                  <c:v>14212</c:v>
                </c:pt>
                <c:pt idx="5">
                  <c:v>16917</c:v>
                </c:pt>
                <c:pt idx="6">
                  <c:v>19981</c:v>
                </c:pt>
                <c:pt idx="7">
                  <c:v>22999</c:v>
                </c:pt>
                <c:pt idx="8">
                  <c:v>26111</c:v>
                </c:pt>
                <c:pt idx="9">
                  <c:v>29218</c:v>
                </c:pt>
                <c:pt idx="10">
                  <c:v>32362</c:v>
                </c:pt>
                <c:pt idx="11">
                  <c:v>35475</c:v>
                </c:pt>
                <c:pt idx="12">
                  <c:v>38504</c:v>
                </c:pt>
                <c:pt idx="13">
                  <c:v>41368</c:v>
                </c:pt>
                <c:pt idx="14">
                  <c:v>44406</c:v>
                </c:pt>
                <c:pt idx="15">
                  <c:v>46633</c:v>
                </c:pt>
                <c:pt idx="16">
                  <c:v>49524</c:v>
                </c:pt>
                <c:pt idx="17">
                  <c:v>52717</c:v>
                </c:pt>
                <c:pt idx="18">
                  <c:v>55886</c:v>
                </c:pt>
                <c:pt idx="19">
                  <c:v>59068</c:v>
                </c:pt>
                <c:pt idx="20">
                  <c:v>62295</c:v>
                </c:pt>
                <c:pt idx="21">
                  <c:v>65180</c:v>
                </c:pt>
                <c:pt idx="22">
                  <c:v>68378</c:v>
                </c:pt>
                <c:pt idx="23">
                  <c:v>71427</c:v>
                </c:pt>
                <c:pt idx="24">
                  <c:v>74695</c:v>
                </c:pt>
                <c:pt idx="25">
                  <c:v>77871</c:v>
                </c:pt>
              </c:numCache>
            </c:numRef>
          </c:yVal>
          <c:smooth val="1"/>
          <c:extLst>
            <c:ext xmlns:c16="http://schemas.microsoft.com/office/drawing/2014/chart" uri="{C3380CC4-5D6E-409C-BE32-E72D297353CC}">
              <c16:uniqueId val="{00000001-1B00-49E0-A298-9C59FF657C52}"/>
            </c:ext>
          </c:extLst>
        </c:ser>
        <c:ser>
          <c:idx val="1"/>
          <c:order val="2"/>
          <c:tx>
            <c:strRef>
              <c:f>WFractions!$N$2</c:f>
              <c:strCache>
                <c:ptCount val="1"/>
                <c:pt idx="0">
                  <c:v>2020</c:v>
                </c:pt>
              </c:strCache>
            </c:strRef>
          </c:tx>
          <c:spPr>
            <a:ln w="19050" cap="rnd">
              <a:solidFill>
                <a:schemeClr val="accent2"/>
              </a:solidFill>
              <a:round/>
            </a:ln>
            <a:effectLst/>
          </c:spPr>
          <c:marker>
            <c:symbol val="none"/>
          </c:marker>
          <c:xVal>
            <c:numRef>
              <c:f>WFractions!$A$3:$A$28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WFractions!$N$3:$N$19</c:f>
              <c:numCache>
                <c:formatCode>General</c:formatCode>
                <c:ptCount val="17"/>
                <c:pt idx="0">
                  <c:v>2352</c:v>
                </c:pt>
                <c:pt idx="1">
                  <c:v>5407</c:v>
                </c:pt>
                <c:pt idx="2">
                  <c:v>8183</c:v>
                </c:pt>
                <c:pt idx="3">
                  <c:v>10952</c:v>
                </c:pt>
                <c:pt idx="4">
                  <c:v>13843</c:v>
                </c:pt>
                <c:pt idx="5">
                  <c:v>16409</c:v>
                </c:pt>
                <c:pt idx="6">
                  <c:v>19384</c:v>
                </c:pt>
                <c:pt idx="7">
                  <c:v>22349</c:v>
                </c:pt>
                <c:pt idx="8">
                  <c:v>25312</c:v>
                </c:pt>
                <c:pt idx="9">
                  <c:v>28291</c:v>
                </c:pt>
                <c:pt idx="10">
                  <c:v>31275</c:v>
                </c:pt>
                <c:pt idx="11">
                  <c:v>34174</c:v>
                </c:pt>
                <c:pt idx="12">
                  <c:v>36885</c:v>
                </c:pt>
                <c:pt idx="13">
                  <c:v>39475</c:v>
                </c:pt>
                <c:pt idx="14">
                  <c:v>41269</c:v>
                </c:pt>
                <c:pt idx="15">
                  <c:v>43724</c:v>
                </c:pt>
                <c:pt idx="16">
                  <c:v>45841</c:v>
                </c:pt>
              </c:numCache>
            </c:numRef>
          </c:yVal>
          <c:smooth val="1"/>
          <c:extLst>
            <c:ext xmlns:c16="http://schemas.microsoft.com/office/drawing/2014/chart" uri="{C3380CC4-5D6E-409C-BE32-E72D297353CC}">
              <c16:uniqueId val="{00000002-1B00-49E0-A298-9C59FF657C52}"/>
            </c:ext>
          </c:extLst>
        </c:ser>
        <c:ser>
          <c:idx val="3"/>
          <c:order val="3"/>
          <c:tx>
            <c:v>Level 4</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1B00-49E0-A298-9C59FF657C52}"/>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WFractions!$V$4:$V$5</c:f>
              <c:numCache>
                <c:formatCode>General</c:formatCode>
                <c:ptCount val="2"/>
                <c:pt idx="0">
                  <c:v>12</c:v>
                </c:pt>
                <c:pt idx="1">
                  <c:v>12</c:v>
                </c:pt>
              </c:numCache>
            </c:numRef>
          </c:xVal>
          <c:yVal>
            <c:numRef>
              <c:f>WFractions!$W$4:$W$5</c:f>
              <c:numCache>
                <c:formatCode>General</c:formatCode>
                <c:ptCount val="2"/>
                <c:pt idx="0">
                  <c:v>0</c:v>
                </c:pt>
                <c:pt idx="1">
                  <c:v>77871</c:v>
                </c:pt>
              </c:numCache>
            </c:numRef>
          </c:yVal>
          <c:smooth val="1"/>
          <c:extLst>
            <c:ext xmlns:c16="http://schemas.microsoft.com/office/drawing/2014/chart" uri="{C3380CC4-5D6E-409C-BE32-E72D297353CC}">
              <c16:uniqueId val="{00000004-1B00-49E0-A298-9C59FF657C52}"/>
            </c:ext>
          </c:extLst>
        </c:ser>
        <c:ser>
          <c:idx val="4"/>
          <c:order val="4"/>
          <c:tx>
            <c:v>Level 3</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5-1B00-49E0-A298-9C59FF657C52}"/>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WFractions!$V$7:$V$8</c:f>
              <c:numCache>
                <c:formatCode>General</c:formatCode>
                <c:ptCount val="2"/>
                <c:pt idx="0">
                  <c:v>17</c:v>
                </c:pt>
                <c:pt idx="1">
                  <c:v>17</c:v>
                </c:pt>
              </c:numCache>
            </c:numRef>
          </c:xVal>
          <c:yVal>
            <c:numRef>
              <c:f>WFractions!$W$7:$W$8</c:f>
              <c:numCache>
                <c:formatCode>General</c:formatCode>
                <c:ptCount val="2"/>
                <c:pt idx="0">
                  <c:v>0</c:v>
                </c:pt>
                <c:pt idx="1">
                  <c:v>70083.900000000009</c:v>
                </c:pt>
              </c:numCache>
            </c:numRef>
          </c:yVal>
          <c:smooth val="1"/>
          <c:extLst>
            <c:ext xmlns:c16="http://schemas.microsoft.com/office/drawing/2014/chart" uri="{C3380CC4-5D6E-409C-BE32-E72D297353CC}">
              <c16:uniqueId val="{00000006-1B00-49E0-A298-9C59FF657C52}"/>
            </c:ext>
          </c:extLst>
        </c:ser>
        <c:dLbls>
          <c:showLegendKey val="0"/>
          <c:showVal val="0"/>
          <c:showCatName val="0"/>
          <c:showSerName val="0"/>
          <c:showPercent val="0"/>
          <c:showBubbleSize val="0"/>
        </c:dLbls>
        <c:axId val="419949736"/>
        <c:axId val="419954000"/>
      </c:scatterChart>
      <c:valAx>
        <c:axId val="419949736"/>
        <c:scaling>
          <c:orientation val="minMax"/>
          <c:max val="27"/>
          <c:min val="1"/>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a:t>Week</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54000"/>
        <c:crosses val="autoZero"/>
        <c:crossBetween val="midCat"/>
        <c:majorUnit val="2"/>
      </c:valAx>
      <c:valAx>
        <c:axId val="419954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a:t>Cumulative attendances</a:t>
                </a:r>
              </a:p>
            </c:rich>
          </c:tx>
          <c:layout>
            <c:manualLayout>
              <c:xMode val="edge"/>
              <c:yMode val="edge"/>
              <c:x val="2.4140012070006035E-2"/>
              <c:y val="0.3682035578885972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midCat"/>
      </c:valAx>
      <c:spPr>
        <a:noFill/>
        <a:ln>
          <a:noFill/>
        </a:ln>
        <a:effectLst/>
      </c:spPr>
    </c:plotArea>
    <c:legend>
      <c:legendPos val="t"/>
      <c:legendEntry>
        <c:idx val="3"/>
        <c:delete val="1"/>
      </c:legendEntry>
      <c:legendEntry>
        <c:idx val="4"/>
        <c:delete val="1"/>
      </c:legendEntry>
      <c:layout>
        <c:manualLayout>
          <c:xMode val="edge"/>
          <c:yMode val="edge"/>
          <c:x val="0.2047022335847126"/>
          <c:y val="0.15930555555555553"/>
          <c:w val="0.58254886214057278"/>
          <c:h val="7.253390201224846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Cumulative megavoltge attendances - Māori</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090186410404771"/>
          <c:y val="0.22163130650335375"/>
          <c:w val="0.72711730522502582"/>
          <c:h val="0.60126968503936995"/>
        </c:manualLayout>
      </c:layout>
      <c:scatterChart>
        <c:scatterStyle val="smoothMarker"/>
        <c:varyColors val="0"/>
        <c:ser>
          <c:idx val="2"/>
          <c:order val="0"/>
          <c:tx>
            <c:v>2018</c:v>
          </c:tx>
          <c:spPr>
            <a:ln w="19050" cap="rnd">
              <a:solidFill>
                <a:schemeClr val="accent3"/>
              </a:solidFill>
              <a:round/>
            </a:ln>
            <a:effectLst/>
          </c:spPr>
          <c:marker>
            <c:symbol val="none"/>
          </c:marker>
          <c:xVal>
            <c:numRef>
              <c:f>WFractions!$A$3:$A$28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WFractions!$O$3:$O$28</c:f>
              <c:numCache>
                <c:formatCode>General</c:formatCode>
                <c:ptCount val="26"/>
                <c:pt idx="0">
                  <c:v>271</c:v>
                </c:pt>
                <c:pt idx="1">
                  <c:v>641</c:v>
                </c:pt>
                <c:pt idx="2">
                  <c:v>975</c:v>
                </c:pt>
                <c:pt idx="3">
                  <c:v>1328</c:v>
                </c:pt>
                <c:pt idx="4">
                  <c:v>1662</c:v>
                </c:pt>
                <c:pt idx="5">
                  <c:v>1944</c:v>
                </c:pt>
                <c:pt idx="6">
                  <c:v>2269</c:v>
                </c:pt>
                <c:pt idx="7">
                  <c:v>2643</c:v>
                </c:pt>
                <c:pt idx="8">
                  <c:v>3006</c:v>
                </c:pt>
                <c:pt idx="9">
                  <c:v>3400</c:v>
                </c:pt>
                <c:pt idx="10">
                  <c:v>3820</c:v>
                </c:pt>
                <c:pt idx="11">
                  <c:v>4238</c:v>
                </c:pt>
                <c:pt idx="12">
                  <c:v>4594</c:v>
                </c:pt>
                <c:pt idx="13">
                  <c:v>4977</c:v>
                </c:pt>
                <c:pt idx="14">
                  <c:v>5366</c:v>
                </c:pt>
                <c:pt idx="15">
                  <c:v>5731</c:v>
                </c:pt>
                <c:pt idx="16">
                  <c:v>6054</c:v>
                </c:pt>
                <c:pt idx="17">
                  <c:v>6412</c:v>
                </c:pt>
                <c:pt idx="18">
                  <c:v>6811</c:v>
                </c:pt>
                <c:pt idx="19">
                  <c:v>7193</c:v>
                </c:pt>
                <c:pt idx="20">
                  <c:v>7548</c:v>
                </c:pt>
                <c:pt idx="21">
                  <c:v>7931</c:v>
                </c:pt>
                <c:pt idx="22">
                  <c:v>8233</c:v>
                </c:pt>
                <c:pt idx="23">
                  <c:v>8645</c:v>
                </c:pt>
                <c:pt idx="24">
                  <c:v>9038</c:v>
                </c:pt>
                <c:pt idx="25">
                  <c:v>9424</c:v>
                </c:pt>
              </c:numCache>
            </c:numRef>
          </c:yVal>
          <c:smooth val="1"/>
          <c:extLst>
            <c:ext xmlns:c16="http://schemas.microsoft.com/office/drawing/2014/chart" uri="{C3380CC4-5D6E-409C-BE32-E72D297353CC}">
              <c16:uniqueId val="{00000000-39AB-4630-A793-5DC229D76BA2}"/>
            </c:ext>
          </c:extLst>
        </c:ser>
        <c:ser>
          <c:idx val="0"/>
          <c:order val="1"/>
          <c:tx>
            <c:v>2019</c:v>
          </c:tx>
          <c:spPr>
            <a:ln w="19050" cap="rnd">
              <a:solidFill>
                <a:schemeClr val="accent1"/>
              </a:solidFill>
              <a:round/>
            </a:ln>
            <a:effectLst/>
          </c:spPr>
          <c:marker>
            <c:symbol val="none"/>
          </c:marker>
          <c:xVal>
            <c:numRef>
              <c:f>WFractions!$A$3:$A$28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WFractions!$P$3:$P$28</c:f>
              <c:numCache>
                <c:formatCode>General</c:formatCode>
                <c:ptCount val="26"/>
                <c:pt idx="0">
                  <c:v>303</c:v>
                </c:pt>
                <c:pt idx="1">
                  <c:v>705</c:v>
                </c:pt>
                <c:pt idx="2">
                  <c:v>1078</c:v>
                </c:pt>
                <c:pt idx="3">
                  <c:v>1381</c:v>
                </c:pt>
                <c:pt idx="4">
                  <c:v>1744</c:v>
                </c:pt>
                <c:pt idx="5">
                  <c:v>2058</c:v>
                </c:pt>
                <c:pt idx="6">
                  <c:v>2407</c:v>
                </c:pt>
                <c:pt idx="7">
                  <c:v>2746</c:v>
                </c:pt>
                <c:pt idx="8">
                  <c:v>3082</c:v>
                </c:pt>
                <c:pt idx="9">
                  <c:v>3434</c:v>
                </c:pt>
                <c:pt idx="10">
                  <c:v>3784</c:v>
                </c:pt>
                <c:pt idx="11">
                  <c:v>4170</c:v>
                </c:pt>
                <c:pt idx="12">
                  <c:v>4503</c:v>
                </c:pt>
                <c:pt idx="13">
                  <c:v>4830</c:v>
                </c:pt>
                <c:pt idx="14">
                  <c:v>5194</c:v>
                </c:pt>
                <c:pt idx="15">
                  <c:v>5463</c:v>
                </c:pt>
                <c:pt idx="16">
                  <c:v>5841</c:v>
                </c:pt>
                <c:pt idx="17">
                  <c:v>6207</c:v>
                </c:pt>
                <c:pt idx="18">
                  <c:v>6554</c:v>
                </c:pt>
                <c:pt idx="19">
                  <c:v>6893</c:v>
                </c:pt>
                <c:pt idx="20">
                  <c:v>7284</c:v>
                </c:pt>
                <c:pt idx="21">
                  <c:v>7628</c:v>
                </c:pt>
                <c:pt idx="22">
                  <c:v>8006</c:v>
                </c:pt>
                <c:pt idx="23">
                  <c:v>8372</c:v>
                </c:pt>
                <c:pt idx="24">
                  <c:v>8766</c:v>
                </c:pt>
                <c:pt idx="25">
                  <c:v>9156</c:v>
                </c:pt>
              </c:numCache>
            </c:numRef>
          </c:yVal>
          <c:smooth val="1"/>
          <c:extLst>
            <c:ext xmlns:c16="http://schemas.microsoft.com/office/drawing/2014/chart" uri="{C3380CC4-5D6E-409C-BE32-E72D297353CC}">
              <c16:uniqueId val="{00000001-39AB-4630-A793-5DC229D76BA2}"/>
            </c:ext>
          </c:extLst>
        </c:ser>
        <c:ser>
          <c:idx val="1"/>
          <c:order val="2"/>
          <c:tx>
            <c:v>2020</c:v>
          </c:tx>
          <c:spPr>
            <a:ln w="19050" cap="rnd">
              <a:solidFill>
                <a:schemeClr val="accent2"/>
              </a:solidFill>
              <a:round/>
            </a:ln>
            <a:effectLst/>
          </c:spPr>
          <c:marker>
            <c:symbol val="none"/>
          </c:marker>
          <c:xVal>
            <c:numRef>
              <c:f>WFractions!$A$3:$A$28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WFractions!$Q$3:$Q$19</c:f>
              <c:numCache>
                <c:formatCode>General</c:formatCode>
                <c:ptCount val="17"/>
                <c:pt idx="0">
                  <c:v>296</c:v>
                </c:pt>
                <c:pt idx="1">
                  <c:v>672</c:v>
                </c:pt>
                <c:pt idx="2">
                  <c:v>976</c:v>
                </c:pt>
                <c:pt idx="3">
                  <c:v>1287</c:v>
                </c:pt>
                <c:pt idx="4">
                  <c:v>1634</c:v>
                </c:pt>
                <c:pt idx="5">
                  <c:v>1947</c:v>
                </c:pt>
                <c:pt idx="6">
                  <c:v>2295</c:v>
                </c:pt>
                <c:pt idx="7">
                  <c:v>2651</c:v>
                </c:pt>
                <c:pt idx="8">
                  <c:v>3010</c:v>
                </c:pt>
                <c:pt idx="9">
                  <c:v>3360</c:v>
                </c:pt>
                <c:pt idx="10">
                  <c:v>3684</c:v>
                </c:pt>
                <c:pt idx="11">
                  <c:v>3942</c:v>
                </c:pt>
                <c:pt idx="12">
                  <c:v>4211</c:v>
                </c:pt>
                <c:pt idx="13">
                  <c:v>4487</c:v>
                </c:pt>
                <c:pt idx="14">
                  <c:v>4676</c:v>
                </c:pt>
                <c:pt idx="15">
                  <c:v>4976</c:v>
                </c:pt>
                <c:pt idx="16">
                  <c:v>5273</c:v>
                </c:pt>
              </c:numCache>
            </c:numRef>
          </c:yVal>
          <c:smooth val="1"/>
          <c:extLst>
            <c:ext xmlns:c16="http://schemas.microsoft.com/office/drawing/2014/chart" uri="{C3380CC4-5D6E-409C-BE32-E72D297353CC}">
              <c16:uniqueId val="{00000002-39AB-4630-A793-5DC229D76BA2}"/>
            </c:ext>
          </c:extLst>
        </c:ser>
        <c:ser>
          <c:idx val="3"/>
          <c:order val="3"/>
          <c:tx>
            <c:v>Level 4</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39AB-4630-A793-5DC229D76BA2}"/>
                </c:ext>
              </c:extLst>
            </c:dLbl>
            <c:dLbl>
              <c:idx val="1"/>
              <c:layout>
                <c:manualLayout>
                  <c:x val="-8.4430244941427132E-2"/>
                  <c:y val="-3.1863517060367497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39AB-4630-A793-5DC229D76BA2}"/>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WFractions!$V$4:$V$5</c:f>
              <c:numCache>
                <c:formatCode>General</c:formatCode>
                <c:ptCount val="2"/>
                <c:pt idx="0">
                  <c:v>12</c:v>
                </c:pt>
                <c:pt idx="1">
                  <c:v>12</c:v>
                </c:pt>
              </c:numCache>
            </c:numRef>
          </c:xVal>
          <c:yVal>
            <c:numRef>
              <c:f>WFractions!$X$4:$X$5</c:f>
              <c:numCache>
                <c:formatCode>General</c:formatCode>
                <c:ptCount val="2"/>
                <c:pt idx="0">
                  <c:v>0</c:v>
                </c:pt>
                <c:pt idx="1">
                  <c:v>9156</c:v>
                </c:pt>
              </c:numCache>
            </c:numRef>
          </c:yVal>
          <c:smooth val="1"/>
          <c:extLst>
            <c:ext xmlns:c16="http://schemas.microsoft.com/office/drawing/2014/chart" uri="{C3380CC4-5D6E-409C-BE32-E72D297353CC}">
              <c16:uniqueId val="{00000004-39AB-4630-A793-5DC229D76BA2}"/>
            </c:ext>
          </c:extLst>
        </c:ser>
        <c:ser>
          <c:idx val="4"/>
          <c:order val="4"/>
          <c:tx>
            <c:v>Level 3</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5-39AB-4630-A793-5DC229D76BA2}"/>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WFractions!$V$7:$V$8</c:f>
              <c:numCache>
                <c:formatCode>General</c:formatCode>
                <c:ptCount val="2"/>
                <c:pt idx="0">
                  <c:v>17</c:v>
                </c:pt>
                <c:pt idx="1">
                  <c:v>17</c:v>
                </c:pt>
              </c:numCache>
            </c:numRef>
          </c:xVal>
          <c:yVal>
            <c:numRef>
              <c:f>WFractions!$X$7:$X$8</c:f>
              <c:numCache>
                <c:formatCode>General</c:formatCode>
                <c:ptCount val="2"/>
                <c:pt idx="0">
                  <c:v>0</c:v>
                </c:pt>
                <c:pt idx="1">
                  <c:v>8240.4</c:v>
                </c:pt>
              </c:numCache>
            </c:numRef>
          </c:yVal>
          <c:smooth val="1"/>
          <c:extLst>
            <c:ext xmlns:c16="http://schemas.microsoft.com/office/drawing/2014/chart" uri="{C3380CC4-5D6E-409C-BE32-E72D297353CC}">
              <c16:uniqueId val="{00000006-39AB-4630-A793-5DC229D76BA2}"/>
            </c:ext>
          </c:extLst>
        </c:ser>
        <c:dLbls>
          <c:showLegendKey val="0"/>
          <c:showVal val="0"/>
          <c:showCatName val="0"/>
          <c:showSerName val="0"/>
          <c:showPercent val="0"/>
          <c:showBubbleSize val="0"/>
        </c:dLbls>
        <c:axId val="419949736"/>
        <c:axId val="419954000"/>
      </c:scatterChart>
      <c:valAx>
        <c:axId val="419949736"/>
        <c:scaling>
          <c:orientation val="minMax"/>
          <c:max val="27"/>
          <c:min val="1"/>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a:t>Week</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54000"/>
        <c:crosses val="autoZero"/>
        <c:crossBetween val="midCat"/>
        <c:majorUnit val="2"/>
      </c:valAx>
      <c:valAx>
        <c:axId val="419954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a:t>Cumulative attendances</a:t>
                </a:r>
              </a:p>
            </c:rich>
          </c:tx>
          <c:layout>
            <c:manualLayout>
              <c:xMode val="edge"/>
              <c:yMode val="edge"/>
              <c:x val="3.4078807241746542E-2"/>
              <c:y val="0.3399511519393408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midCat"/>
      </c:valAx>
      <c:spPr>
        <a:noFill/>
        <a:ln>
          <a:noFill/>
        </a:ln>
        <a:effectLst/>
      </c:spPr>
    </c:plotArea>
    <c:legend>
      <c:legendPos val="t"/>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00" b="0" i="0" u="none" strike="noStrike" kern="1200" spc="0" baseline="0">
                <a:solidFill>
                  <a:schemeClr val="tx1">
                    <a:lumMod val="65000"/>
                    <a:lumOff val="35000"/>
                  </a:schemeClr>
                </a:solidFill>
                <a:latin typeface="+mn-lt"/>
                <a:ea typeface="+mn-ea"/>
                <a:cs typeface="+mn-cs"/>
              </a:defRPr>
            </a:pPr>
            <a:r>
              <a:rPr lang="en-NZ" sz="1000"/>
              <a:t>Haematology FSAs - total</a:t>
            </a:r>
            <a:r>
              <a:rPr lang="en-NZ" sz="1000" baseline="0"/>
              <a:t> population</a:t>
            </a:r>
            <a:endParaRPr lang="en-NZ" sz="1000"/>
          </a:p>
        </c:rich>
      </c:tx>
      <c:layout>
        <c:manualLayout>
          <c:xMode val="edge"/>
          <c:yMode val="edge"/>
          <c:x val="0.16487036681390435"/>
          <c:y val="3.4252677874725128E-2"/>
        </c:manualLayout>
      </c:layout>
      <c:overlay val="0"/>
      <c:spPr>
        <a:noFill/>
        <a:ln>
          <a:noFill/>
        </a:ln>
        <a:effectLst/>
      </c:spPr>
      <c:txPr>
        <a:bodyPr rot="0" spcFirstLastPara="1" vertOverflow="ellipsis" vert="horz" wrap="square" anchor="ctr" anchorCtr="1"/>
        <a:lstStyle/>
        <a:p>
          <a:pPr algn="ctr" rtl="0">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232123423596441"/>
          <c:y val="0.23947364687522169"/>
          <c:w val="0.77296331860956402"/>
          <c:h val="0.63234778085171783"/>
        </c:manualLayout>
      </c:layout>
      <c:barChart>
        <c:barDir val="col"/>
        <c:grouping val="clustered"/>
        <c:varyColors val="0"/>
        <c:ser>
          <c:idx val="2"/>
          <c:order val="0"/>
          <c:tx>
            <c:strRef>
              <c:f>'M Haem FSAs'!$B$1</c:f>
              <c:strCache>
                <c:ptCount val="1"/>
                <c:pt idx="0">
                  <c:v>2018</c:v>
                </c:pt>
              </c:strCache>
            </c:strRef>
          </c:tx>
          <c:spPr>
            <a:solidFill>
              <a:schemeClr val="accent3"/>
            </a:solidFill>
            <a:ln>
              <a:noFill/>
            </a:ln>
            <a:effectLst/>
          </c:spPr>
          <c:invertIfNegative val="0"/>
          <c:val>
            <c:numRef>
              <c:f>'M Haem FSAs'!$B$2:$B$5</c:f>
              <c:numCache>
                <c:formatCode>General</c:formatCode>
                <c:ptCount val="4"/>
                <c:pt idx="0">
                  <c:v>526</c:v>
                </c:pt>
                <c:pt idx="1">
                  <c:v>512</c:v>
                </c:pt>
                <c:pt idx="2">
                  <c:v>549</c:v>
                </c:pt>
                <c:pt idx="3">
                  <c:v>522</c:v>
                </c:pt>
              </c:numCache>
            </c:numRef>
          </c:val>
          <c:extLst>
            <c:ext xmlns:c16="http://schemas.microsoft.com/office/drawing/2014/chart" uri="{C3380CC4-5D6E-409C-BE32-E72D297353CC}">
              <c16:uniqueId val="{00000000-052F-45BA-B50A-DDA102B375A2}"/>
            </c:ext>
          </c:extLst>
        </c:ser>
        <c:ser>
          <c:idx val="0"/>
          <c:order val="1"/>
          <c:tx>
            <c:strRef>
              <c:f>'M Haem FSAs'!$C$1</c:f>
              <c:strCache>
                <c:ptCount val="1"/>
                <c:pt idx="0">
                  <c:v>2019</c:v>
                </c:pt>
              </c:strCache>
            </c:strRef>
          </c:tx>
          <c:spPr>
            <a:solidFill>
              <a:schemeClr val="accent1"/>
            </a:solidFill>
            <a:ln>
              <a:noFill/>
            </a:ln>
            <a:effectLst/>
          </c:spPr>
          <c:invertIfNegative val="0"/>
          <c:cat>
            <c:strRef>
              <c:f>'M Haem FSAs'!$A$2:$A$5</c:f>
              <c:strCache>
                <c:ptCount val="4"/>
                <c:pt idx="0">
                  <c:v>Jan</c:v>
                </c:pt>
                <c:pt idx="1">
                  <c:v>Feb</c:v>
                </c:pt>
                <c:pt idx="2">
                  <c:v>Mar</c:v>
                </c:pt>
                <c:pt idx="3">
                  <c:v>Apr</c:v>
                </c:pt>
              </c:strCache>
            </c:strRef>
          </c:cat>
          <c:val>
            <c:numRef>
              <c:f>'M Haem FSAs'!$C$2:$C$5</c:f>
              <c:numCache>
                <c:formatCode>General</c:formatCode>
                <c:ptCount val="4"/>
                <c:pt idx="0">
                  <c:v>448</c:v>
                </c:pt>
                <c:pt idx="1">
                  <c:v>510</c:v>
                </c:pt>
                <c:pt idx="2">
                  <c:v>583</c:v>
                </c:pt>
                <c:pt idx="3">
                  <c:v>475</c:v>
                </c:pt>
              </c:numCache>
            </c:numRef>
          </c:val>
          <c:extLst>
            <c:ext xmlns:c16="http://schemas.microsoft.com/office/drawing/2014/chart" uri="{C3380CC4-5D6E-409C-BE32-E72D297353CC}">
              <c16:uniqueId val="{00000001-052F-45BA-B50A-DDA102B375A2}"/>
            </c:ext>
          </c:extLst>
        </c:ser>
        <c:ser>
          <c:idx val="1"/>
          <c:order val="2"/>
          <c:tx>
            <c:strRef>
              <c:f>'M Haem FSAs'!$D$1</c:f>
              <c:strCache>
                <c:ptCount val="1"/>
                <c:pt idx="0">
                  <c:v>2020</c:v>
                </c:pt>
              </c:strCache>
            </c:strRef>
          </c:tx>
          <c:spPr>
            <a:solidFill>
              <a:schemeClr val="accent2"/>
            </a:solidFill>
            <a:ln>
              <a:noFill/>
            </a:ln>
            <a:effectLst/>
          </c:spPr>
          <c:invertIfNegative val="0"/>
          <c:val>
            <c:numRef>
              <c:f>'M Haem FSAs'!$D$2:$D$5</c:f>
              <c:numCache>
                <c:formatCode>General</c:formatCode>
                <c:ptCount val="4"/>
                <c:pt idx="0">
                  <c:v>460</c:v>
                </c:pt>
                <c:pt idx="1">
                  <c:v>496</c:v>
                </c:pt>
                <c:pt idx="2">
                  <c:v>557</c:v>
                </c:pt>
                <c:pt idx="3">
                  <c:v>408</c:v>
                </c:pt>
              </c:numCache>
            </c:numRef>
          </c:val>
          <c:extLst>
            <c:ext xmlns:c16="http://schemas.microsoft.com/office/drawing/2014/chart" uri="{C3380CC4-5D6E-409C-BE32-E72D297353CC}">
              <c16:uniqueId val="{00000002-052F-45BA-B50A-DDA102B375A2}"/>
            </c:ext>
          </c:extLst>
        </c:ser>
        <c:dLbls>
          <c:showLegendKey val="0"/>
          <c:showVal val="0"/>
          <c:showCatName val="0"/>
          <c:showSerName val="0"/>
          <c:showPercent val="0"/>
          <c:showBubbleSize val="0"/>
        </c:dLbls>
        <c:gapWidth val="219"/>
        <c:overlap val="-27"/>
        <c:axId val="419937272"/>
        <c:axId val="419937928"/>
      </c:barChart>
      <c:catAx>
        <c:axId val="419937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37928"/>
        <c:crosses val="autoZero"/>
        <c:auto val="1"/>
        <c:lblAlgn val="ctr"/>
        <c:lblOffset val="100"/>
        <c:noMultiLvlLbl val="0"/>
      </c:catAx>
      <c:valAx>
        <c:axId val="419937928"/>
        <c:scaling>
          <c:orientation val="minMax"/>
          <c:max val="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a:t>Number of FSAs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37272"/>
        <c:crosses val="autoZero"/>
        <c:crossBetween val="between"/>
      </c:valAx>
      <c:spPr>
        <a:noFill/>
        <a:ln>
          <a:noFill/>
        </a:ln>
        <a:effectLst/>
      </c:spPr>
    </c:plotArea>
    <c:legend>
      <c:legendPos val="t"/>
      <c:layout>
        <c:manualLayout>
          <c:xMode val="edge"/>
          <c:yMode val="edge"/>
          <c:x val="0.31700979450739392"/>
          <c:y val="0.13936960582629873"/>
          <c:w val="0.36598041098521222"/>
          <c:h val="9.40980350429169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960" b="0" i="0" u="none" strike="noStrike" kern="1200" spc="0" baseline="0">
                <a:solidFill>
                  <a:schemeClr val="tx1">
                    <a:lumMod val="65000"/>
                    <a:lumOff val="35000"/>
                  </a:schemeClr>
                </a:solidFill>
                <a:latin typeface="+mn-lt"/>
                <a:ea typeface="+mn-ea"/>
                <a:cs typeface="+mn-cs"/>
              </a:defRPr>
            </a:pPr>
            <a:r>
              <a:rPr lang="en-NZ"/>
              <a:t>Haematology FSAs - Māori</a:t>
            </a:r>
          </a:p>
        </c:rich>
      </c:tx>
      <c:overlay val="0"/>
      <c:spPr>
        <a:noFill/>
        <a:ln>
          <a:noFill/>
        </a:ln>
        <a:effectLst/>
      </c:spPr>
      <c:txPr>
        <a:bodyPr rot="0" spcFirstLastPara="1" vertOverflow="ellipsis" vert="horz" wrap="square" anchor="ctr" anchorCtr="1"/>
        <a:lstStyle/>
        <a:p>
          <a:pPr algn="ctr" rtl="0">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159194217442061"/>
          <c:y val="0.25573045450766624"/>
          <c:w val="0.78214097054902842"/>
          <c:h val="0.61551097967957624"/>
        </c:manualLayout>
      </c:layout>
      <c:barChart>
        <c:barDir val="col"/>
        <c:grouping val="clustered"/>
        <c:varyColors val="0"/>
        <c:ser>
          <c:idx val="2"/>
          <c:order val="0"/>
          <c:tx>
            <c:strRef>
              <c:f>'M Haem FSAs'!$F$1</c:f>
              <c:strCache>
                <c:ptCount val="1"/>
                <c:pt idx="0">
                  <c:v>2018 Māori</c:v>
                </c:pt>
              </c:strCache>
            </c:strRef>
          </c:tx>
          <c:spPr>
            <a:solidFill>
              <a:schemeClr val="accent3"/>
            </a:solidFill>
            <a:ln>
              <a:noFill/>
            </a:ln>
            <a:effectLst/>
          </c:spPr>
          <c:invertIfNegative val="0"/>
          <c:val>
            <c:numRef>
              <c:f>'M Haem FSAs'!$F$2:$F$5</c:f>
              <c:numCache>
                <c:formatCode>General</c:formatCode>
                <c:ptCount val="4"/>
                <c:pt idx="0">
                  <c:v>49</c:v>
                </c:pt>
                <c:pt idx="1">
                  <c:v>39</c:v>
                </c:pt>
                <c:pt idx="2">
                  <c:v>54</c:v>
                </c:pt>
                <c:pt idx="3">
                  <c:v>57</c:v>
                </c:pt>
              </c:numCache>
            </c:numRef>
          </c:val>
          <c:extLst>
            <c:ext xmlns:c16="http://schemas.microsoft.com/office/drawing/2014/chart" uri="{C3380CC4-5D6E-409C-BE32-E72D297353CC}">
              <c16:uniqueId val="{00000000-B4F6-4765-961D-6061703C4E24}"/>
            </c:ext>
          </c:extLst>
        </c:ser>
        <c:ser>
          <c:idx val="0"/>
          <c:order val="1"/>
          <c:tx>
            <c:strRef>
              <c:f>'M Haem FSAs'!$G$1</c:f>
              <c:strCache>
                <c:ptCount val="1"/>
                <c:pt idx="0">
                  <c:v>2019 Māori</c:v>
                </c:pt>
              </c:strCache>
            </c:strRef>
          </c:tx>
          <c:spPr>
            <a:solidFill>
              <a:schemeClr val="accent1"/>
            </a:solidFill>
            <a:ln>
              <a:noFill/>
            </a:ln>
            <a:effectLst/>
          </c:spPr>
          <c:invertIfNegative val="0"/>
          <c:cat>
            <c:strRef>
              <c:f>'M Haem FSAs'!$A$2:$A$5</c:f>
              <c:strCache>
                <c:ptCount val="4"/>
                <c:pt idx="0">
                  <c:v>Jan</c:v>
                </c:pt>
                <c:pt idx="1">
                  <c:v>Feb</c:v>
                </c:pt>
                <c:pt idx="2">
                  <c:v>Mar</c:v>
                </c:pt>
                <c:pt idx="3">
                  <c:v>Apr</c:v>
                </c:pt>
              </c:strCache>
            </c:strRef>
          </c:cat>
          <c:val>
            <c:numRef>
              <c:f>'M Haem FSAs'!$G$2:$G$5</c:f>
              <c:numCache>
                <c:formatCode>General</c:formatCode>
                <c:ptCount val="4"/>
                <c:pt idx="0">
                  <c:v>42</c:v>
                </c:pt>
                <c:pt idx="1">
                  <c:v>55</c:v>
                </c:pt>
                <c:pt idx="2">
                  <c:v>76</c:v>
                </c:pt>
                <c:pt idx="3">
                  <c:v>41</c:v>
                </c:pt>
              </c:numCache>
            </c:numRef>
          </c:val>
          <c:extLst>
            <c:ext xmlns:c16="http://schemas.microsoft.com/office/drawing/2014/chart" uri="{C3380CC4-5D6E-409C-BE32-E72D297353CC}">
              <c16:uniqueId val="{00000001-B4F6-4765-961D-6061703C4E24}"/>
            </c:ext>
          </c:extLst>
        </c:ser>
        <c:ser>
          <c:idx val="1"/>
          <c:order val="2"/>
          <c:tx>
            <c:strRef>
              <c:f>'M Haem FSAs'!$H$1</c:f>
              <c:strCache>
                <c:ptCount val="1"/>
                <c:pt idx="0">
                  <c:v>2020 Māori</c:v>
                </c:pt>
              </c:strCache>
            </c:strRef>
          </c:tx>
          <c:spPr>
            <a:solidFill>
              <a:schemeClr val="accent2"/>
            </a:solidFill>
            <a:ln>
              <a:noFill/>
            </a:ln>
            <a:effectLst/>
          </c:spPr>
          <c:invertIfNegative val="0"/>
          <c:val>
            <c:numRef>
              <c:f>'M Haem FSAs'!$H$2:$H$5</c:f>
              <c:numCache>
                <c:formatCode>General</c:formatCode>
                <c:ptCount val="4"/>
                <c:pt idx="0">
                  <c:v>61</c:v>
                </c:pt>
                <c:pt idx="1">
                  <c:v>61</c:v>
                </c:pt>
                <c:pt idx="2">
                  <c:v>73</c:v>
                </c:pt>
                <c:pt idx="3">
                  <c:v>41</c:v>
                </c:pt>
              </c:numCache>
            </c:numRef>
          </c:val>
          <c:extLst>
            <c:ext xmlns:c16="http://schemas.microsoft.com/office/drawing/2014/chart" uri="{C3380CC4-5D6E-409C-BE32-E72D297353CC}">
              <c16:uniqueId val="{00000002-B4F6-4765-961D-6061703C4E24}"/>
            </c:ext>
          </c:extLst>
        </c:ser>
        <c:dLbls>
          <c:showLegendKey val="0"/>
          <c:showVal val="0"/>
          <c:showCatName val="0"/>
          <c:showSerName val="0"/>
          <c:showPercent val="0"/>
          <c:showBubbleSize val="0"/>
        </c:dLbls>
        <c:gapWidth val="219"/>
        <c:overlap val="-27"/>
        <c:axId val="419937272"/>
        <c:axId val="419937928"/>
      </c:barChart>
      <c:catAx>
        <c:axId val="419937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37928"/>
        <c:crosses val="autoZero"/>
        <c:auto val="1"/>
        <c:lblAlgn val="ctr"/>
        <c:lblOffset val="100"/>
        <c:noMultiLvlLbl val="0"/>
      </c:catAx>
      <c:valAx>
        <c:axId val="419937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Number of FSAs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37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Cumulative number of haematology  FSAs - total population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2"/>
          <c:order val="0"/>
          <c:tx>
            <c:strRef>
              <c:f>'W Haem FSA'!$L$2</c:f>
              <c:strCache>
                <c:ptCount val="1"/>
                <c:pt idx="0">
                  <c:v>2018</c:v>
                </c:pt>
              </c:strCache>
            </c:strRef>
          </c:tx>
          <c:spPr>
            <a:ln w="19050" cap="rnd">
              <a:solidFill>
                <a:schemeClr val="accent3"/>
              </a:solidFill>
              <a:round/>
            </a:ln>
            <a:effectLst/>
          </c:spPr>
          <c:marker>
            <c:symbol val="none"/>
          </c:marker>
          <c:xVal>
            <c:numRef>
              <c:f>'W Haem FSA'!$A$3:$A$28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'W Haem FSA'!$L$3:$L$28</c:f>
              <c:numCache>
                <c:formatCode>General</c:formatCode>
                <c:ptCount val="26"/>
                <c:pt idx="0">
                  <c:v>50</c:v>
                </c:pt>
                <c:pt idx="1">
                  <c:v>192</c:v>
                </c:pt>
                <c:pt idx="2">
                  <c:v>333</c:v>
                </c:pt>
                <c:pt idx="3">
                  <c:v>465</c:v>
                </c:pt>
                <c:pt idx="4">
                  <c:v>583</c:v>
                </c:pt>
                <c:pt idx="5">
                  <c:v>690</c:v>
                </c:pt>
                <c:pt idx="6">
                  <c:v>828</c:v>
                </c:pt>
                <c:pt idx="7">
                  <c:v>970</c:v>
                </c:pt>
                <c:pt idx="8">
                  <c:v>1104</c:v>
                </c:pt>
                <c:pt idx="9">
                  <c:v>1244</c:v>
                </c:pt>
                <c:pt idx="10">
                  <c:v>1336</c:v>
                </c:pt>
                <c:pt idx="11">
                  <c:v>1472</c:v>
                </c:pt>
                <c:pt idx="12">
                  <c:v>1587</c:v>
                </c:pt>
                <c:pt idx="13">
                  <c:v>1690</c:v>
                </c:pt>
                <c:pt idx="14">
                  <c:v>1827</c:v>
                </c:pt>
                <c:pt idx="15">
                  <c:v>1953</c:v>
                </c:pt>
                <c:pt idx="16">
                  <c:v>2079</c:v>
                </c:pt>
                <c:pt idx="17">
                  <c:v>2236</c:v>
                </c:pt>
                <c:pt idx="18">
                  <c:v>2395</c:v>
                </c:pt>
                <c:pt idx="19">
                  <c:v>2526</c:v>
                </c:pt>
                <c:pt idx="20">
                  <c:v>2639</c:v>
                </c:pt>
                <c:pt idx="21">
                  <c:v>2778</c:v>
                </c:pt>
                <c:pt idx="22">
                  <c:v>2890</c:v>
                </c:pt>
                <c:pt idx="23">
                  <c:v>3004</c:v>
                </c:pt>
                <c:pt idx="24">
                  <c:v>3122</c:v>
                </c:pt>
                <c:pt idx="25">
                  <c:v>3244</c:v>
                </c:pt>
              </c:numCache>
            </c:numRef>
          </c:yVal>
          <c:smooth val="1"/>
          <c:extLst>
            <c:ext xmlns:c16="http://schemas.microsoft.com/office/drawing/2014/chart" uri="{C3380CC4-5D6E-409C-BE32-E72D297353CC}">
              <c16:uniqueId val="{00000000-447F-4FA2-A8E3-6A6276784FD7}"/>
            </c:ext>
          </c:extLst>
        </c:ser>
        <c:ser>
          <c:idx val="0"/>
          <c:order val="1"/>
          <c:tx>
            <c:strRef>
              <c:f>'W Haem FSA'!$M$2</c:f>
              <c:strCache>
                <c:ptCount val="1"/>
                <c:pt idx="0">
                  <c:v>2019</c:v>
                </c:pt>
              </c:strCache>
            </c:strRef>
          </c:tx>
          <c:spPr>
            <a:ln w="19050" cap="rnd">
              <a:solidFill>
                <a:schemeClr val="accent1"/>
              </a:solidFill>
              <a:round/>
            </a:ln>
            <a:effectLst/>
          </c:spPr>
          <c:marker>
            <c:symbol val="none"/>
          </c:marker>
          <c:xVal>
            <c:numRef>
              <c:f>'W Haem FSA'!$A$3:$A$28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'W Haem FSA'!$M$3:$M$28</c:f>
              <c:numCache>
                <c:formatCode>General</c:formatCode>
                <c:ptCount val="26"/>
                <c:pt idx="0">
                  <c:v>40</c:v>
                </c:pt>
                <c:pt idx="1">
                  <c:v>146</c:v>
                </c:pt>
                <c:pt idx="2">
                  <c:v>244</c:v>
                </c:pt>
                <c:pt idx="3">
                  <c:v>368</c:v>
                </c:pt>
                <c:pt idx="4">
                  <c:v>507</c:v>
                </c:pt>
                <c:pt idx="5">
                  <c:v>611</c:v>
                </c:pt>
                <c:pt idx="6">
                  <c:v>753</c:v>
                </c:pt>
                <c:pt idx="7">
                  <c:v>896</c:v>
                </c:pt>
                <c:pt idx="8">
                  <c:v>1001</c:v>
                </c:pt>
                <c:pt idx="9">
                  <c:v>1146</c:v>
                </c:pt>
                <c:pt idx="10">
                  <c:v>1285</c:v>
                </c:pt>
                <c:pt idx="11">
                  <c:v>1417</c:v>
                </c:pt>
                <c:pt idx="12">
                  <c:v>1553</c:v>
                </c:pt>
                <c:pt idx="13">
                  <c:v>1709</c:v>
                </c:pt>
                <c:pt idx="14">
                  <c:v>1831</c:v>
                </c:pt>
                <c:pt idx="15">
                  <c:v>1918</c:v>
                </c:pt>
                <c:pt idx="16">
                  <c:v>1998</c:v>
                </c:pt>
                <c:pt idx="17">
                  <c:v>2138</c:v>
                </c:pt>
                <c:pt idx="18">
                  <c:v>2297</c:v>
                </c:pt>
                <c:pt idx="19">
                  <c:v>2447</c:v>
                </c:pt>
                <c:pt idx="20">
                  <c:v>2581</c:v>
                </c:pt>
                <c:pt idx="21">
                  <c:v>2686</c:v>
                </c:pt>
                <c:pt idx="22">
                  <c:v>2809</c:v>
                </c:pt>
                <c:pt idx="23">
                  <c:v>2944</c:v>
                </c:pt>
                <c:pt idx="24">
                  <c:v>3065</c:v>
                </c:pt>
                <c:pt idx="25">
                  <c:v>3195</c:v>
                </c:pt>
              </c:numCache>
            </c:numRef>
          </c:yVal>
          <c:smooth val="1"/>
          <c:extLst>
            <c:ext xmlns:c16="http://schemas.microsoft.com/office/drawing/2014/chart" uri="{C3380CC4-5D6E-409C-BE32-E72D297353CC}">
              <c16:uniqueId val="{00000001-447F-4FA2-A8E3-6A6276784FD7}"/>
            </c:ext>
          </c:extLst>
        </c:ser>
        <c:ser>
          <c:idx val="1"/>
          <c:order val="2"/>
          <c:tx>
            <c:strRef>
              <c:f>'W Haem FSA'!$N$2</c:f>
              <c:strCache>
                <c:ptCount val="1"/>
                <c:pt idx="0">
                  <c:v>2020</c:v>
                </c:pt>
              </c:strCache>
            </c:strRef>
          </c:tx>
          <c:spPr>
            <a:ln w="19050" cap="rnd">
              <a:solidFill>
                <a:schemeClr val="accent2"/>
              </a:solidFill>
              <a:round/>
            </a:ln>
            <a:effectLst/>
          </c:spPr>
          <c:marker>
            <c:symbol val="none"/>
          </c:marker>
          <c:xVal>
            <c:numRef>
              <c:f>'W Haem FSA'!$A$3:$A$28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'W Haem FSA'!$N$3:$N$19</c:f>
              <c:numCache>
                <c:formatCode>General</c:formatCode>
                <c:ptCount val="17"/>
                <c:pt idx="0">
                  <c:v>40</c:v>
                </c:pt>
                <c:pt idx="1">
                  <c:v>157</c:v>
                </c:pt>
                <c:pt idx="2">
                  <c:v>277</c:v>
                </c:pt>
                <c:pt idx="3">
                  <c:v>372</c:v>
                </c:pt>
                <c:pt idx="4">
                  <c:v>508</c:v>
                </c:pt>
                <c:pt idx="5">
                  <c:v>585</c:v>
                </c:pt>
                <c:pt idx="6">
                  <c:v>737</c:v>
                </c:pt>
                <c:pt idx="7">
                  <c:v>858</c:v>
                </c:pt>
                <c:pt idx="8">
                  <c:v>996</c:v>
                </c:pt>
                <c:pt idx="9">
                  <c:v>1124</c:v>
                </c:pt>
                <c:pt idx="10">
                  <c:v>1269</c:v>
                </c:pt>
                <c:pt idx="11">
                  <c:v>1390</c:v>
                </c:pt>
                <c:pt idx="12">
                  <c:v>1513</c:v>
                </c:pt>
                <c:pt idx="13">
                  <c:v>1617</c:v>
                </c:pt>
                <c:pt idx="14">
                  <c:v>1707</c:v>
                </c:pt>
                <c:pt idx="15">
                  <c:v>1798</c:v>
                </c:pt>
                <c:pt idx="16">
                  <c:v>1866</c:v>
                </c:pt>
              </c:numCache>
            </c:numRef>
          </c:yVal>
          <c:smooth val="1"/>
          <c:extLst>
            <c:ext xmlns:c16="http://schemas.microsoft.com/office/drawing/2014/chart" uri="{C3380CC4-5D6E-409C-BE32-E72D297353CC}">
              <c16:uniqueId val="{00000002-447F-4FA2-A8E3-6A6276784FD7}"/>
            </c:ext>
          </c:extLst>
        </c:ser>
        <c:ser>
          <c:idx val="3"/>
          <c:order val="3"/>
          <c:tx>
            <c:v>Level 4</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447F-4FA2-A8E3-6A6276784FD7}"/>
                </c:ext>
              </c:extLst>
            </c:dLbl>
            <c:dLbl>
              <c:idx val="1"/>
              <c:layout>
                <c:manualLayout>
                  <c:x val="-5.8986220472440946E-2"/>
                  <c:y val="-4.394685039370079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447F-4FA2-A8E3-6A6276784FD7}"/>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'W Haem FSA'!$V$4:$V$5</c:f>
              <c:numCache>
                <c:formatCode>General</c:formatCode>
                <c:ptCount val="2"/>
                <c:pt idx="0">
                  <c:v>12</c:v>
                </c:pt>
                <c:pt idx="1">
                  <c:v>12</c:v>
                </c:pt>
              </c:numCache>
            </c:numRef>
          </c:xVal>
          <c:yVal>
            <c:numRef>
              <c:f>'W Haem FSA'!$W$4:$W$5</c:f>
              <c:numCache>
                <c:formatCode>General</c:formatCode>
                <c:ptCount val="2"/>
                <c:pt idx="0">
                  <c:v>0</c:v>
                </c:pt>
                <c:pt idx="1">
                  <c:v>3195</c:v>
                </c:pt>
              </c:numCache>
            </c:numRef>
          </c:yVal>
          <c:smooth val="1"/>
          <c:extLst>
            <c:ext xmlns:c16="http://schemas.microsoft.com/office/drawing/2014/chart" uri="{C3380CC4-5D6E-409C-BE32-E72D297353CC}">
              <c16:uniqueId val="{00000005-447F-4FA2-A8E3-6A6276784FD7}"/>
            </c:ext>
          </c:extLst>
        </c:ser>
        <c:ser>
          <c:idx val="4"/>
          <c:order val="4"/>
          <c:tx>
            <c:v>Level 3</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6-447F-4FA2-A8E3-6A6276784FD7}"/>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'W Haem FSA'!$V$7:$V$8</c:f>
              <c:numCache>
                <c:formatCode>General</c:formatCode>
                <c:ptCount val="2"/>
                <c:pt idx="0">
                  <c:v>17</c:v>
                </c:pt>
                <c:pt idx="1">
                  <c:v>17</c:v>
                </c:pt>
              </c:numCache>
            </c:numRef>
          </c:xVal>
          <c:yVal>
            <c:numRef>
              <c:f>'W Haem FSA'!$W$7:$W$8</c:f>
              <c:numCache>
                <c:formatCode>General</c:formatCode>
                <c:ptCount val="2"/>
                <c:pt idx="0">
                  <c:v>0</c:v>
                </c:pt>
                <c:pt idx="1">
                  <c:v>2875.5</c:v>
                </c:pt>
              </c:numCache>
            </c:numRef>
          </c:yVal>
          <c:smooth val="1"/>
          <c:extLst>
            <c:ext xmlns:c16="http://schemas.microsoft.com/office/drawing/2014/chart" uri="{C3380CC4-5D6E-409C-BE32-E72D297353CC}">
              <c16:uniqueId val="{00000007-447F-4FA2-A8E3-6A6276784FD7}"/>
            </c:ext>
          </c:extLst>
        </c:ser>
        <c:dLbls>
          <c:showLegendKey val="0"/>
          <c:showVal val="0"/>
          <c:showCatName val="0"/>
          <c:showSerName val="0"/>
          <c:showPercent val="0"/>
          <c:showBubbleSize val="0"/>
        </c:dLbls>
        <c:axId val="419949736"/>
        <c:axId val="419954000"/>
      </c:scatterChart>
      <c:valAx>
        <c:axId val="419949736"/>
        <c:scaling>
          <c:orientation val="minMax"/>
          <c:max val="27"/>
          <c:min val="1"/>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a:t>Week</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54000"/>
        <c:crosses val="autoZero"/>
        <c:crossBetween val="midCat"/>
        <c:majorUnit val="2"/>
      </c:valAx>
      <c:valAx>
        <c:axId val="419954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a:t>Cumulative number of FSAs</a:t>
                </a:r>
              </a:p>
            </c:rich>
          </c:tx>
          <c:layout>
            <c:manualLayout>
              <c:xMode val="edge"/>
              <c:yMode val="edge"/>
              <c:x val="4.0526849037487336E-2"/>
              <c:y val="0.3030387616030568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midCat"/>
      </c:valAx>
      <c:spPr>
        <a:noFill/>
        <a:ln>
          <a:noFill/>
        </a:ln>
        <a:effectLst/>
      </c:spPr>
    </c:plotArea>
    <c:legend>
      <c:legendPos val="t"/>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a:t>Cumulative number of haematology FSAs - Māori</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2"/>
          <c:order val="0"/>
          <c:tx>
            <c:v>2018</c:v>
          </c:tx>
          <c:spPr>
            <a:ln w="19050" cap="rnd">
              <a:solidFill>
                <a:schemeClr val="accent3"/>
              </a:solidFill>
              <a:round/>
            </a:ln>
            <a:effectLst/>
          </c:spPr>
          <c:marker>
            <c:symbol val="none"/>
          </c:marker>
          <c:xVal>
            <c:numRef>
              <c:f>'W Haem FSA'!$A$3:$A$28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'W Haem FSA'!$O$3:$O$28</c:f>
              <c:numCache>
                <c:formatCode>General</c:formatCode>
                <c:ptCount val="26"/>
                <c:pt idx="0">
                  <c:v>6</c:v>
                </c:pt>
                <c:pt idx="1">
                  <c:v>19</c:v>
                </c:pt>
                <c:pt idx="2">
                  <c:v>37</c:v>
                </c:pt>
                <c:pt idx="3">
                  <c:v>46</c:v>
                </c:pt>
                <c:pt idx="4">
                  <c:v>49</c:v>
                </c:pt>
                <c:pt idx="5">
                  <c:v>59</c:v>
                </c:pt>
                <c:pt idx="6">
                  <c:v>76</c:v>
                </c:pt>
                <c:pt idx="7">
                  <c:v>83</c:v>
                </c:pt>
                <c:pt idx="8">
                  <c:v>99</c:v>
                </c:pt>
                <c:pt idx="9">
                  <c:v>111</c:v>
                </c:pt>
                <c:pt idx="10">
                  <c:v>119</c:v>
                </c:pt>
                <c:pt idx="11">
                  <c:v>132</c:v>
                </c:pt>
                <c:pt idx="12">
                  <c:v>142</c:v>
                </c:pt>
                <c:pt idx="13">
                  <c:v>155</c:v>
                </c:pt>
                <c:pt idx="14">
                  <c:v>167</c:v>
                </c:pt>
                <c:pt idx="15">
                  <c:v>181</c:v>
                </c:pt>
                <c:pt idx="16">
                  <c:v>194</c:v>
                </c:pt>
                <c:pt idx="17">
                  <c:v>203</c:v>
                </c:pt>
                <c:pt idx="18">
                  <c:v>222</c:v>
                </c:pt>
                <c:pt idx="19">
                  <c:v>238</c:v>
                </c:pt>
                <c:pt idx="20">
                  <c:v>251</c:v>
                </c:pt>
                <c:pt idx="21">
                  <c:v>263</c:v>
                </c:pt>
                <c:pt idx="22">
                  <c:v>274</c:v>
                </c:pt>
                <c:pt idx="23">
                  <c:v>285</c:v>
                </c:pt>
                <c:pt idx="24">
                  <c:v>296</c:v>
                </c:pt>
                <c:pt idx="25">
                  <c:v>308</c:v>
                </c:pt>
              </c:numCache>
            </c:numRef>
          </c:yVal>
          <c:smooth val="1"/>
          <c:extLst>
            <c:ext xmlns:c16="http://schemas.microsoft.com/office/drawing/2014/chart" uri="{C3380CC4-5D6E-409C-BE32-E72D297353CC}">
              <c16:uniqueId val="{00000000-5328-4F13-BBD6-F5521BF230A4}"/>
            </c:ext>
          </c:extLst>
        </c:ser>
        <c:ser>
          <c:idx val="0"/>
          <c:order val="1"/>
          <c:tx>
            <c:v>2019</c:v>
          </c:tx>
          <c:spPr>
            <a:ln w="19050" cap="rnd">
              <a:solidFill>
                <a:schemeClr val="accent1"/>
              </a:solidFill>
              <a:round/>
            </a:ln>
            <a:effectLst/>
          </c:spPr>
          <c:marker>
            <c:symbol val="none"/>
          </c:marker>
          <c:xVal>
            <c:numRef>
              <c:f>'W Haem FSA'!$A$3:$A$28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'W Haem FSA'!$P$3:$P$28</c:f>
              <c:numCache>
                <c:formatCode>General</c:formatCode>
                <c:ptCount val="26"/>
                <c:pt idx="0">
                  <c:v>2</c:v>
                </c:pt>
                <c:pt idx="1">
                  <c:v>19</c:v>
                </c:pt>
                <c:pt idx="2">
                  <c:v>32</c:v>
                </c:pt>
                <c:pt idx="3">
                  <c:v>36</c:v>
                </c:pt>
                <c:pt idx="4">
                  <c:v>46</c:v>
                </c:pt>
                <c:pt idx="5">
                  <c:v>57</c:v>
                </c:pt>
                <c:pt idx="6">
                  <c:v>72</c:v>
                </c:pt>
                <c:pt idx="7">
                  <c:v>88</c:v>
                </c:pt>
                <c:pt idx="8">
                  <c:v>102</c:v>
                </c:pt>
                <c:pt idx="9">
                  <c:v>120</c:v>
                </c:pt>
                <c:pt idx="10">
                  <c:v>143</c:v>
                </c:pt>
                <c:pt idx="11">
                  <c:v>157</c:v>
                </c:pt>
                <c:pt idx="12">
                  <c:v>173</c:v>
                </c:pt>
                <c:pt idx="13">
                  <c:v>189</c:v>
                </c:pt>
                <c:pt idx="14">
                  <c:v>197</c:v>
                </c:pt>
                <c:pt idx="15">
                  <c:v>201</c:v>
                </c:pt>
                <c:pt idx="16">
                  <c:v>211</c:v>
                </c:pt>
                <c:pt idx="17">
                  <c:v>227</c:v>
                </c:pt>
                <c:pt idx="18">
                  <c:v>246</c:v>
                </c:pt>
                <c:pt idx="19">
                  <c:v>260</c:v>
                </c:pt>
                <c:pt idx="20">
                  <c:v>270</c:v>
                </c:pt>
                <c:pt idx="21">
                  <c:v>281</c:v>
                </c:pt>
                <c:pt idx="22">
                  <c:v>305</c:v>
                </c:pt>
                <c:pt idx="23">
                  <c:v>326</c:v>
                </c:pt>
                <c:pt idx="24">
                  <c:v>340</c:v>
                </c:pt>
                <c:pt idx="25">
                  <c:v>354</c:v>
                </c:pt>
              </c:numCache>
            </c:numRef>
          </c:yVal>
          <c:smooth val="1"/>
          <c:extLst>
            <c:ext xmlns:c16="http://schemas.microsoft.com/office/drawing/2014/chart" uri="{C3380CC4-5D6E-409C-BE32-E72D297353CC}">
              <c16:uniqueId val="{00000001-5328-4F13-BBD6-F5521BF230A4}"/>
            </c:ext>
          </c:extLst>
        </c:ser>
        <c:ser>
          <c:idx val="1"/>
          <c:order val="2"/>
          <c:tx>
            <c:v>2020</c:v>
          </c:tx>
          <c:spPr>
            <a:ln w="19050" cap="rnd">
              <a:solidFill>
                <a:schemeClr val="accent2"/>
              </a:solidFill>
              <a:round/>
            </a:ln>
            <a:effectLst/>
          </c:spPr>
          <c:marker>
            <c:symbol val="none"/>
          </c:marker>
          <c:xVal>
            <c:numRef>
              <c:f>'W Haem FSA'!$A$3:$A$28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'W Haem FSA'!$Q$3:$Q$19</c:f>
              <c:numCache>
                <c:formatCode>General</c:formatCode>
                <c:ptCount val="17"/>
                <c:pt idx="0">
                  <c:v>7</c:v>
                </c:pt>
                <c:pt idx="1">
                  <c:v>21</c:v>
                </c:pt>
                <c:pt idx="2">
                  <c:v>35</c:v>
                </c:pt>
                <c:pt idx="3">
                  <c:v>50</c:v>
                </c:pt>
                <c:pt idx="4">
                  <c:v>69</c:v>
                </c:pt>
                <c:pt idx="5">
                  <c:v>75</c:v>
                </c:pt>
                <c:pt idx="6">
                  <c:v>96</c:v>
                </c:pt>
                <c:pt idx="7">
                  <c:v>108</c:v>
                </c:pt>
                <c:pt idx="8">
                  <c:v>128</c:v>
                </c:pt>
                <c:pt idx="9">
                  <c:v>145</c:v>
                </c:pt>
                <c:pt idx="10">
                  <c:v>166</c:v>
                </c:pt>
                <c:pt idx="11">
                  <c:v>182</c:v>
                </c:pt>
                <c:pt idx="12">
                  <c:v>195</c:v>
                </c:pt>
                <c:pt idx="13">
                  <c:v>203</c:v>
                </c:pt>
                <c:pt idx="14">
                  <c:v>211</c:v>
                </c:pt>
                <c:pt idx="15">
                  <c:v>221</c:v>
                </c:pt>
                <c:pt idx="16">
                  <c:v>229</c:v>
                </c:pt>
              </c:numCache>
            </c:numRef>
          </c:yVal>
          <c:smooth val="1"/>
          <c:extLst>
            <c:ext xmlns:c16="http://schemas.microsoft.com/office/drawing/2014/chart" uri="{C3380CC4-5D6E-409C-BE32-E72D297353CC}">
              <c16:uniqueId val="{00000002-5328-4F13-BBD6-F5521BF230A4}"/>
            </c:ext>
          </c:extLst>
        </c:ser>
        <c:ser>
          <c:idx val="3"/>
          <c:order val="3"/>
          <c:tx>
            <c:v>Level 4</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5328-4F13-BBD6-F5521BF230A4}"/>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'W Haem FSA'!$V$4:$V$5</c:f>
              <c:numCache>
                <c:formatCode>General</c:formatCode>
                <c:ptCount val="2"/>
                <c:pt idx="0">
                  <c:v>12</c:v>
                </c:pt>
                <c:pt idx="1">
                  <c:v>12</c:v>
                </c:pt>
              </c:numCache>
            </c:numRef>
          </c:xVal>
          <c:yVal>
            <c:numRef>
              <c:f>'W Haem FSA'!$X$4:$X$5</c:f>
              <c:numCache>
                <c:formatCode>General</c:formatCode>
                <c:ptCount val="2"/>
                <c:pt idx="0">
                  <c:v>0</c:v>
                </c:pt>
                <c:pt idx="1">
                  <c:v>354</c:v>
                </c:pt>
              </c:numCache>
            </c:numRef>
          </c:yVal>
          <c:smooth val="1"/>
          <c:extLst>
            <c:ext xmlns:c16="http://schemas.microsoft.com/office/drawing/2014/chart" uri="{C3380CC4-5D6E-409C-BE32-E72D297353CC}">
              <c16:uniqueId val="{00000004-5328-4F13-BBD6-F5521BF230A4}"/>
            </c:ext>
          </c:extLst>
        </c:ser>
        <c:ser>
          <c:idx val="4"/>
          <c:order val="4"/>
          <c:tx>
            <c:v>Level 3</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5-5328-4F13-BBD6-F5521BF230A4}"/>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'W Haem FSA'!$V$7:$V$8</c:f>
              <c:numCache>
                <c:formatCode>General</c:formatCode>
                <c:ptCount val="2"/>
                <c:pt idx="0">
                  <c:v>17</c:v>
                </c:pt>
                <c:pt idx="1">
                  <c:v>17</c:v>
                </c:pt>
              </c:numCache>
            </c:numRef>
          </c:xVal>
          <c:yVal>
            <c:numRef>
              <c:f>'W Haem FSA'!$X$7:$X$8</c:f>
              <c:numCache>
                <c:formatCode>General</c:formatCode>
                <c:ptCount val="2"/>
                <c:pt idx="0">
                  <c:v>0</c:v>
                </c:pt>
                <c:pt idx="1">
                  <c:v>318.60000000000002</c:v>
                </c:pt>
              </c:numCache>
            </c:numRef>
          </c:yVal>
          <c:smooth val="1"/>
          <c:extLst>
            <c:ext xmlns:c16="http://schemas.microsoft.com/office/drawing/2014/chart" uri="{C3380CC4-5D6E-409C-BE32-E72D297353CC}">
              <c16:uniqueId val="{00000006-5328-4F13-BBD6-F5521BF230A4}"/>
            </c:ext>
          </c:extLst>
        </c:ser>
        <c:dLbls>
          <c:showLegendKey val="0"/>
          <c:showVal val="0"/>
          <c:showCatName val="0"/>
          <c:showSerName val="0"/>
          <c:showPercent val="0"/>
          <c:showBubbleSize val="0"/>
        </c:dLbls>
        <c:axId val="419949736"/>
        <c:axId val="419954000"/>
      </c:scatterChart>
      <c:valAx>
        <c:axId val="419949736"/>
        <c:scaling>
          <c:orientation val="minMax"/>
          <c:max val="27"/>
          <c:min val="1"/>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a:t>Week</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54000"/>
        <c:crosses val="autoZero"/>
        <c:crossBetween val="midCat"/>
        <c:majorUnit val="2"/>
      </c:valAx>
      <c:valAx>
        <c:axId val="419954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Cumulative number of</a:t>
                </a:r>
                <a:r>
                  <a:rPr lang="en-US" sz="800" baseline="0"/>
                  <a:t> FSAs</a:t>
                </a:r>
                <a:endParaRPr lang="en-US" sz="800"/>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midCat"/>
        <c:majorUnit val="50"/>
      </c:valAx>
      <c:spPr>
        <a:noFill/>
        <a:ln>
          <a:noFill/>
        </a:ln>
        <a:effectLst/>
      </c:spPr>
    </c:plotArea>
    <c:legend>
      <c:legendPos val="t"/>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00" b="0" i="0" u="none" strike="noStrike" kern="1200" spc="0" baseline="0">
                <a:solidFill>
                  <a:schemeClr val="tx1">
                    <a:lumMod val="65000"/>
                    <a:lumOff val="35000"/>
                  </a:schemeClr>
                </a:solidFill>
                <a:latin typeface="+mn-lt"/>
                <a:ea typeface="+mn-ea"/>
                <a:cs typeface="+mn-cs"/>
              </a:defRPr>
            </a:pPr>
            <a:r>
              <a:rPr lang="en-NZ" sz="1000"/>
              <a:t>IV haematology attendances - total population</a:t>
            </a:r>
          </a:p>
        </c:rich>
      </c:tx>
      <c:overlay val="0"/>
      <c:spPr>
        <a:noFill/>
        <a:ln>
          <a:noFill/>
        </a:ln>
        <a:effectLst/>
      </c:spPr>
      <c:txPr>
        <a:bodyPr rot="0" spcFirstLastPara="1" vertOverflow="ellipsis" vert="horz" wrap="square" anchor="ctr" anchorCtr="1"/>
        <a:lstStyle/>
        <a:p>
          <a:pPr algn="ctr" rtl="0">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063329309263455"/>
          <c:y val="0.30485500731093734"/>
          <c:w val="0.7605537492858877"/>
          <c:h val="0.60523335967087155"/>
        </c:manualLayout>
      </c:layout>
      <c:barChart>
        <c:barDir val="col"/>
        <c:grouping val="clustered"/>
        <c:varyColors val="0"/>
        <c:ser>
          <c:idx val="2"/>
          <c:order val="0"/>
          <c:tx>
            <c:strRef>
              <c:f>'M IV Haem'!$B$1</c:f>
              <c:strCache>
                <c:ptCount val="1"/>
                <c:pt idx="0">
                  <c:v>2018</c:v>
                </c:pt>
              </c:strCache>
            </c:strRef>
          </c:tx>
          <c:spPr>
            <a:solidFill>
              <a:schemeClr val="accent3"/>
            </a:solidFill>
            <a:ln>
              <a:noFill/>
            </a:ln>
            <a:effectLst/>
          </c:spPr>
          <c:invertIfNegative val="0"/>
          <c:val>
            <c:numRef>
              <c:f>'M IV Haem'!$B$2:$B$5</c:f>
              <c:numCache>
                <c:formatCode>General</c:formatCode>
                <c:ptCount val="4"/>
                <c:pt idx="0">
                  <c:v>1744</c:v>
                </c:pt>
                <c:pt idx="1">
                  <c:v>1638</c:v>
                </c:pt>
                <c:pt idx="2">
                  <c:v>1719</c:v>
                </c:pt>
                <c:pt idx="3">
                  <c:v>1620</c:v>
                </c:pt>
              </c:numCache>
            </c:numRef>
          </c:val>
          <c:extLst>
            <c:ext xmlns:c16="http://schemas.microsoft.com/office/drawing/2014/chart" uri="{C3380CC4-5D6E-409C-BE32-E72D297353CC}">
              <c16:uniqueId val="{00000000-023A-45C3-940F-5CABFA6B321F}"/>
            </c:ext>
          </c:extLst>
        </c:ser>
        <c:ser>
          <c:idx val="0"/>
          <c:order val="1"/>
          <c:tx>
            <c:strRef>
              <c:f>'M IV Haem'!$C$1</c:f>
              <c:strCache>
                <c:ptCount val="1"/>
                <c:pt idx="0">
                  <c:v>2019</c:v>
                </c:pt>
              </c:strCache>
            </c:strRef>
          </c:tx>
          <c:spPr>
            <a:solidFill>
              <a:schemeClr val="accent1"/>
            </a:solidFill>
            <a:ln>
              <a:noFill/>
            </a:ln>
            <a:effectLst/>
          </c:spPr>
          <c:invertIfNegative val="0"/>
          <c:cat>
            <c:strRef>
              <c:f>'M IV Haem'!$A$2:$A$5</c:f>
              <c:strCache>
                <c:ptCount val="4"/>
                <c:pt idx="0">
                  <c:v>Jan</c:v>
                </c:pt>
                <c:pt idx="1">
                  <c:v>Feb</c:v>
                </c:pt>
                <c:pt idx="2">
                  <c:v>Mar</c:v>
                </c:pt>
                <c:pt idx="3">
                  <c:v>Apr</c:v>
                </c:pt>
              </c:strCache>
            </c:strRef>
          </c:cat>
          <c:val>
            <c:numRef>
              <c:f>'M IV Haem'!$C$2:$C$5</c:f>
              <c:numCache>
                <c:formatCode>General</c:formatCode>
                <c:ptCount val="4"/>
                <c:pt idx="0">
                  <c:v>1836</c:v>
                </c:pt>
                <c:pt idx="1">
                  <c:v>1636</c:v>
                </c:pt>
                <c:pt idx="2">
                  <c:v>1602</c:v>
                </c:pt>
                <c:pt idx="3">
                  <c:v>1579</c:v>
                </c:pt>
              </c:numCache>
            </c:numRef>
          </c:val>
          <c:extLst>
            <c:ext xmlns:c16="http://schemas.microsoft.com/office/drawing/2014/chart" uri="{C3380CC4-5D6E-409C-BE32-E72D297353CC}">
              <c16:uniqueId val="{00000001-023A-45C3-940F-5CABFA6B321F}"/>
            </c:ext>
          </c:extLst>
        </c:ser>
        <c:ser>
          <c:idx val="1"/>
          <c:order val="2"/>
          <c:tx>
            <c:strRef>
              <c:f>'M IV Haem'!$D$1</c:f>
              <c:strCache>
                <c:ptCount val="1"/>
                <c:pt idx="0">
                  <c:v>2020</c:v>
                </c:pt>
              </c:strCache>
            </c:strRef>
          </c:tx>
          <c:spPr>
            <a:solidFill>
              <a:schemeClr val="accent2"/>
            </a:solidFill>
            <a:ln>
              <a:noFill/>
            </a:ln>
            <a:effectLst/>
          </c:spPr>
          <c:invertIfNegative val="0"/>
          <c:val>
            <c:numRef>
              <c:f>'M IV Haem'!$D$2:$D$5</c:f>
              <c:numCache>
                <c:formatCode>General</c:formatCode>
                <c:ptCount val="4"/>
                <c:pt idx="0">
                  <c:v>1886</c:v>
                </c:pt>
                <c:pt idx="1">
                  <c:v>1783</c:v>
                </c:pt>
                <c:pt idx="2">
                  <c:v>1892</c:v>
                </c:pt>
                <c:pt idx="3">
                  <c:v>1592</c:v>
                </c:pt>
              </c:numCache>
            </c:numRef>
          </c:val>
          <c:extLst>
            <c:ext xmlns:c16="http://schemas.microsoft.com/office/drawing/2014/chart" uri="{C3380CC4-5D6E-409C-BE32-E72D297353CC}">
              <c16:uniqueId val="{00000002-023A-45C3-940F-5CABFA6B321F}"/>
            </c:ext>
          </c:extLst>
        </c:ser>
        <c:dLbls>
          <c:showLegendKey val="0"/>
          <c:showVal val="0"/>
          <c:showCatName val="0"/>
          <c:showSerName val="0"/>
          <c:showPercent val="0"/>
          <c:showBubbleSize val="0"/>
        </c:dLbls>
        <c:gapWidth val="219"/>
        <c:overlap val="-27"/>
        <c:axId val="419937272"/>
        <c:axId val="419937928"/>
      </c:barChart>
      <c:catAx>
        <c:axId val="419937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37928"/>
        <c:crosses val="autoZero"/>
        <c:auto val="1"/>
        <c:lblAlgn val="ctr"/>
        <c:lblOffset val="100"/>
        <c:noMultiLvlLbl val="0"/>
      </c:catAx>
      <c:valAx>
        <c:axId val="41993792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a:t>Number of attendances</a:t>
                </a:r>
              </a:p>
            </c:rich>
          </c:tx>
          <c:layout>
            <c:manualLayout>
              <c:xMode val="edge"/>
              <c:yMode val="edge"/>
              <c:x val="2.6625249611715109E-2"/>
              <c:y val="0.3880369452088385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37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00" b="0" i="0" u="none" strike="noStrike" kern="1200" spc="0" baseline="0">
                <a:solidFill>
                  <a:schemeClr val="tx1">
                    <a:lumMod val="65000"/>
                    <a:lumOff val="35000"/>
                  </a:schemeClr>
                </a:solidFill>
                <a:latin typeface="+mn-lt"/>
                <a:ea typeface="+mn-ea"/>
                <a:cs typeface="+mn-cs"/>
              </a:defRPr>
            </a:pPr>
            <a:r>
              <a:rPr lang="en-NZ" sz="1000"/>
              <a:t>IV haematology attendances - Māori</a:t>
            </a:r>
          </a:p>
        </c:rich>
      </c:tx>
      <c:overlay val="0"/>
      <c:spPr>
        <a:noFill/>
        <a:ln>
          <a:noFill/>
        </a:ln>
        <a:effectLst/>
      </c:spPr>
      <c:txPr>
        <a:bodyPr rot="0" spcFirstLastPara="1" vertOverflow="ellipsis" vert="horz" wrap="square" anchor="ctr" anchorCtr="1"/>
        <a:lstStyle/>
        <a:p>
          <a:pPr algn="ctr" rtl="0">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0"/>
          <c:tx>
            <c:v>2018</c:v>
          </c:tx>
          <c:spPr>
            <a:solidFill>
              <a:schemeClr val="accent3"/>
            </a:solidFill>
            <a:ln>
              <a:noFill/>
            </a:ln>
            <a:effectLst/>
          </c:spPr>
          <c:invertIfNegative val="0"/>
          <c:val>
            <c:numRef>
              <c:f>'M IV Haem'!$F$2:$F$5</c:f>
              <c:numCache>
                <c:formatCode>General</c:formatCode>
                <c:ptCount val="4"/>
                <c:pt idx="0">
                  <c:v>159</c:v>
                </c:pt>
                <c:pt idx="1">
                  <c:v>155</c:v>
                </c:pt>
                <c:pt idx="2">
                  <c:v>164</c:v>
                </c:pt>
                <c:pt idx="3">
                  <c:v>128</c:v>
                </c:pt>
              </c:numCache>
            </c:numRef>
          </c:val>
          <c:extLst>
            <c:ext xmlns:c16="http://schemas.microsoft.com/office/drawing/2014/chart" uri="{C3380CC4-5D6E-409C-BE32-E72D297353CC}">
              <c16:uniqueId val="{00000000-B9F8-48D1-B9FA-D0AE4DBD7E42}"/>
            </c:ext>
          </c:extLst>
        </c:ser>
        <c:ser>
          <c:idx val="0"/>
          <c:order val="1"/>
          <c:tx>
            <c:v>2019</c:v>
          </c:tx>
          <c:spPr>
            <a:solidFill>
              <a:schemeClr val="accent1"/>
            </a:solidFill>
            <a:ln>
              <a:noFill/>
            </a:ln>
            <a:effectLst/>
          </c:spPr>
          <c:invertIfNegative val="0"/>
          <c:cat>
            <c:strRef>
              <c:f>'M IV Haem'!$A$2:$A$5</c:f>
              <c:strCache>
                <c:ptCount val="4"/>
                <c:pt idx="0">
                  <c:v>Jan</c:v>
                </c:pt>
                <c:pt idx="1">
                  <c:v>Feb</c:v>
                </c:pt>
                <c:pt idx="2">
                  <c:v>Mar</c:v>
                </c:pt>
                <c:pt idx="3">
                  <c:v>Apr</c:v>
                </c:pt>
              </c:strCache>
            </c:strRef>
          </c:cat>
          <c:val>
            <c:numRef>
              <c:f>'M IV Haem'!$G$2:$G$5</c:f>
              <c:numCache>
                <c:formatCode>General</c:formatCode>
                <c:ptCount val="4"/>
                <c:pt idx="0">
                  <c:v>212</c:v>
                </c:pt>
                <c:pt idx="1">
                  <c:v>203</c:v>
                </c:pt>
                <c:pt idx="2">
                  <c:v>180</c:v>
                </c:pt>
                <c:pt idx="3">
                  <c:v>155</c:v>
                </c:pt>
              </c:numCache>
            </c:numRef>
          </c:val>
          <c:extLst>
            <c:ext xmlns:c16="http://schemas.microsoft.com/office/drawing/2014/chart" uri="{C3380CC4-5D6E-409C-BE32-E72D297353CC}">
              <c16:uniqueId val="{00000001-B9F8-48D1-B9FA-D0AE4DBD7E42}"/>
            </c:ext>
          </c:extLst>
        </c:ser>
        <c:ser>
          <c:idx val="1"/>
          <c:order val="2"/>
          <c:tx>
            <c:v>2020</c:v>
          </c:tx>
          <c:spPr>
            <a:solidFill>
              <a:schemeClr val="accent2"/>
            </a:solidFill>
            <a:ln>
              <a:noFill/>
            </a:ln>
            <a:effectLst/>
          </c:spPr>
          <c:invertIfNegative val="0"/>
          <c:val>
            <c:numRef>
              <c:f>'M IV Haem'!$H$2:$H$5</c:f>
              <c:numCache>
                <c:formatCode>General</c:formatCode>
                <c:ptCount val="4"/>
                <c:pt idx="0">
                  <c:v>198</c:v>
                </c:pt>
                <c:pt idx="1">
                  <c:v>211</c:v>
                </c:pt>
                <c:pt idx="2">
                  <c:v>202</c:v>
                </c:pt>
                <c:pt idx="3">
                  <c:v>195</c:v>
                </c:pt>
              </c:numCache>
            </c:numRef>
          </c:val>
          <c:extLst>
            <c:ext xmlns:c16="http://schemas.microsoft.com/office/drawing/2014/chart" uri="{C3380CC4-5D6E-409C-BE32-E72D297353CC}">
              <c16:uniqueId val="{00000002-B9F8-48D1-B9FA-D0AE4DBD7E42}"/>
            </c:ext>
          </c:extLst>
        </c:ser>
        <c:dLbls>
          <c:showLegendKey val="0"/>
          <c:showVal val="0"/>
          <c:showCatName val="0"/>
          <c:showSerName val="0"/>
          <c:showPercent val="0"/>
          <c:showBubbleSize val="0"/>
        </c:dLbls>
        <c:gapWidth val="219"/>
        <c:overlap val="-27"/>
        <c:axId val="419937272"/>
        <c:axId val="419937928"/>
      </c:barChart>
      <c:catAx>
        <c:axId val="419937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37928"/>
        <c:crosses val="autoZero"/>
        <c:auto val="1"/>
        <c:lblAlgn val="ctr"/>
        <c:lblOffset val="100"/>
        <c:noMultiLvlLbl val="0"/>
      </c:catAx>
      <c:valAx>
        <c:axId val="419937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a:t>Number of attendances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37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Cumulative gastroscopies and colonoscopies - total population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382549443567394"/>
          <c:y val="0.27916063723973666"/>
          <c:w val="0.73627331165736842"/>
          <c:h val="0.60147567105442623"/>
        </c:manualLayout>
      </c:layout>
      <c:scatterChart>
        <c:scatterStyle val="smoothMarker"/>
        <c:varyColors val="0"/>
        <c:ser>
          <c:idx val="2"/>
          <c:order val="0"/>
          <c:tx>
            <c:strRef>
              <c:f>'W Gastro+Colon scopes'!$M$2</c:f>
              <c:strCache>
                <c:ptCount val="1"/>
                <c:pt idx="0">
                  <c:v>2018</c:v>
                </c:pt>
              </c:strCache>
            </c:strRef>
          </c:tx>
          <c:spPr>
            <a:ln w="19050" cap="rnd">
              <a:solidFill>
                <a:schemeClr val="accent3"/>
              </a:solidFill>
              <a:round/>
            </a:ln>
            <a:effectLst/>
          </c:spPr>
          <c:marker>
            <c:symbol val="none"/>
          </c:marker>
          <c:yVal>
            <c:numRef>
              <c:f>'W Gastro+Colon scopes'!$M$3:$M$28</c:f>
              <c:numCache>
                <c:formatCode>General</c:formatCode>
                <c:ptCount val="26"/>
                <c:pt idx="0">
                  <c:v>366</c:v>
                </c:pt>
                <c:pt idx="1">
                  <c:v>1464</c:v>
                </c:pt>
                <c:pt idx="2">
                  <c:v>2714</c:v>
                </c:pt>
                <c:pt idx="3">
                  <c:v>3921</c:v>
                </c:pt>
                <c:pt idx="4">
                  <c:v>5101</c:v>
                </c:pt>
                <c:pt idx="5">
                  <c:v>6319</c:v>
                </c:pt>
                <c:pt idx="6">
                  <c:v>7708</c:v>
                </c:pt>
                <c:pt idx="7">
                  <c:v>9080</c:v>
                </c:pt>
                <c:pt idx="8">
                  <c:v>10339</c:v>
                </c:pt>
                <c:pt idx="9">
                  <c:v>11758</c:v>
                </c:pt>
                <c:pt idx="10">
                  <c:v>13207</c:v>
                </c:pt>
                <c:pt idx="11">
                  <c:v>14531</c:v>
                </c:pt>
                <c:pt idx="12">
                  <c:v>15693</c:v>
                </c:pt>
                <c:pt idx="13">
                  <c:v>16834</c:v>
                </c:pt>
                <c:pt idx="14">
                  <c:v>18153</c:v>
                </c:pt>
                <c:pt idx="15">
                  <c:v>19488</c:v>
                </c:pt>
                <c:pt idx="16">
                  <c:v>20658</c:v>
                </c:pt>
                <c:pt idx="17">
                  <c:v>22177</c:v>
                </c:pt>
                <c:pt idx="18">
                  <c:v>23574</c:v>
                </c:pt>
                <c:pt idx="19">
                  <c:v>25075</c:v>
                </c:pt>
                <c:pt idx="20">
                  <c:v>26635</c:v>
                </c:pt>
                <c:pt idx="21">
                  <c:v>28142</c:v>
                </c:pt>
                <c:pt idx="22">
                  <c:v>29246</c:v>
                </c:pt>
                <c:pt idx="23">
                  <c:v>30916</c:v>
                </c:pt>
                <c:pt idx="24">
                  <c:v>32522</c:v>
                </c:pt>
                <c:pt idx="25">
                  <c:v>34030</c:v>
                </c:pt>
              </c:numCache>
            </c:numRef>
          </c:yVal>
          <c:smooth val="1"/>
          <c:extLst>
            <c:ext xmlns:c16="http://schemas.microsoft.com/office/drawing/2014/chart" uri="{C3380CC4-5D6E-409C-BE32-E72D297353CC}">
              <c16:uniqueId val="{00000000-3547-4507-8799-A6D2019B8A19}"/>
            </c:ext>
          </c:extLst>
        </c:ser>
        <c:ser>
          <c:idx val="0"/>
          <c:order val="1"/>
          <c:tx>
            <c:strRef>
              <c:f>'W Gastro+Colon scopes'!$N$2</c:f>
              <c:strCache>
                <c:ptCount val="1"/>
                <c:pt idx="0">
                  <c:v>2019</c:v>
                </c:pt>
              </c:strCache>
            </c:strRef>
          </c:tx>
          <c:spPr>
            <a:ln w="19050" cap="rnd">
              <a:solidFill>
                <a:schemeClr val="accent1"/>
              </a:solidFill>
              <a:round/>
            </a:ln>
            <a:effectLst/>
          </c:spPr>
          <c:marker>
            <c:symbol val="none"/>
          </c:marker>
          <c:yVal>
            <c:numRef>
              <c:f>'W Gastro+Colon scopes'!$N$3:$N$28</c:f>
              <c:numCache>
                <c:formatCode>General</c:formatCode>
                <c:ptCount val="26"/>
                <c:pt idx="0">
                  <c:v>547</c:v>
                </c:pt>
                <c:pt idx="1">
                  <c:v>2099</c:v>
                </c:pt>
                <c:pt idx="2">
                  <c:v>3395</c:v>
                </c:pt>
                <c:pt idx="3">
                  <c:v>4889</c:v>
                </c:pt>
                <c:pt idx="4">
                  <c:v>6306</c:v>
                </c:pt>
                <c:pt idx="5">
                  <c:v>7653</c:v>
                </c:pt>
                <c:pt idx="6">
                  <c:v>9203</c:v>
                </c:pt>
                <c:pt idx="7">
                  <c:v>10864</c:v>
                </c:pt>
                <c:pt idx="8">
                  <c:v>12486</c:v>
                </c:pt>
                <c:pt idx="9">
                  <c:v>14121</c:v>
                </c:pt>
                <c:pt idx="10">
                  <c:v>15626</c:v>
                </c:pt>
                <c:pt idx="11">
                  <c:v>17303</c:v>
                </c:pt>
                <c:pt idx="12">
                  <c:v>19068</c:v>
                </c:pt>
                <c:pt idx="13">
                  <c:v>20722</c:v>
                </c:pt>
                <c:pt idx="14">
                  <c:v>22456</c:v>
                </c:pt>
                <c:pt idx="15">
                  <c:v>23378</c:v>
                </c:pt>
                <c:pt idx="16">
                  <c:v>24637</c:v>
                </c:pt>
                <c:pt idx="17">
                  <c:v>26221</c:v>
                </c:pt>
                <c:pt idx="18">
                  <c:v>27805</c:v>
                </c:pt>
                <c:pt idx="19">
                  <c:v>29392</c:v>
                </c:pt>
                <c:pt idx="20">
                  <c:v>31063</c:v>
                </c:pt>
                <c:pt idx="21">
                  <c:v>32406</c:v>
                </c:pt>
                <c:pt idx="22">
                  <c:v>34113</c:v>
                </c:pt>
                <c:pt idx="23">
                  <c:v>35840</c:v>
                </c:pt>
                <c:pt idx="24">
                  <c:v>37656</c:v>
                </c:pt>
                <c:pt idx="25">
                  <c:v>39422</c:v>
                </c:pt>
              </c:numCache>
            </c:numRef>
          </c:yVal>
          <c:smooth val="1"/>
          <c:extLst>
            <c:ext xmlns:c16="http://schemas.microsoft.com/office/drawing/2014/chart" uri="{C3380CC4-5D6E-409C-BE32-E72D297353CC}">
              <c16:uniqueId val="{00000001-3547-4507-8799-A6D2019B8A19}"/>
            </c:ext>
          </c:extLst>
        </c:ser>
        <c:ser>
          <c:idx val="1"/>
          <c:order val="2"/>
          <c:tx>
            <c:strRef>
              <c:f>'W Gastro+Colon scopes'!$O$2</c:f>
              <c:strCache>
                <c:ptCount val="1"/>
                <c:pt idx="0">
                  <c:v>2020</c:v>
                </c:pt>
              </c:strCache>
            </c:strRef>
          </c:tx>
          <c:spPr>
            <a:ln w="19050" cap="rnd">
              <a:solidFill>
                <a:schemeClr val="accent2"/>
              </a:solidFill>
              <a:round/>
            </a:ln>
            <a:effectLst/>
          </c:spPr>
          <c:marker>
            <c:symbol val="none"/>
          </c:marker>
          <c:yVal>
            <c:numRef>
              <c:f>'W Gastro+Colon scopes'!$O$3:$O$19</c:f>
              <c:numCache>
                <c:formatCode>General</c:formatCode>
                <c:ptCount val="17"/>
                <c:pt idx="0">
                  <c:v>704</c:v>
                </c:pt>
                <c:pt idx="1">
                  <c:v>2243</c:v>
                </c:pt>
                <c:pt idx="2">
                  <c:v>3877</c:v>
                </c:pt>
                <c:pt idx="3">
                  <c:v>5241</c:v>
                </c:pt>
                <c:pt idx="4">
                  <c:v>6930</c:v>
                </c:pt>
                <c:pt idx="5">
                  <c:v>8226</c:v>
                </c:pt>
                <c:pt idx="6">
                  <c:v>9967</c:v>
                </c:pt>
                <c:pt idx="7">
                  <c:v>11689</c:v>
                </c:pt>
                <c:pt idx="8">
                  <c:v>13441</c:v>
                </c:pt>
                <c:pt idx="9">
                  <c:v>15167</c:v>
                </c:pt>
                <c:pt idx="10">
                  <c:v>16911</c:v>
                </c:pt>
                <c:pt idx="11">
                  <c:v>18386</c:v>
                </c:pt>
                <c:pt idx="12">
                  <c:v>18730</c:v>
                </c:pt>
                <c:pt idx="13">
                  <c:v>18930</c:v>
                </c:pt>
                <c:pt idx="14">
                  <c:v>19059</c:v>
                </c:pt>
                <c:pt idx="15">
                  <c:v>19362</c:v>
                </c:pt>
                <c:pt idx="16">
                  <c:v>19741</c:v>
                </c:pt>
              </c:numCache>
            </c:numRef>
          </c:yVal>
          <c:smooth val="1"/>
          <c:extLst>
            <c:ext xmlns:c16="http://schemas.microsoft.com/office/drawing/2014/chart" uri="{C3380CC4-5D6E-409C-BE32-E72D297353CC}">
              <c16:uniqueId val="{00000002-3547-4507-8799-A6D2019B8A19}"/>
            </c:ext>
          </c:extLst>
        </c:ser>
        <c:ser>
          <c:idx val="3"/>
          <c:order val="3"/>
          <c:tx>
            <c:v>Level 4</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3547-4507-8799-A6D2019B8A19}"/>
                </c:ext>
              </c:extLst>
            </c:dLbl>
            <c:dLbl>
              <c:idx val="1"/>
              <c:layout>
                <c:manualLayout>
                  <c:x val="-8.1597365170852199E-2"/>
                  <c:y val="-2.995656010898529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3547-4507-8799-A6D2019B8A19}"/>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'W Gastro+Colon scopes'!$K$3:$K$4</c:f>
              <c:numCache>
                <c:formatCode>General</c:formatCode>
                <c:ptCount val="2"/>
                <c:pt idx="0">
                  <c:v>13</c:v>
                </c:pt>
                <c:pt idx="1">
                  <c:v>13</c:v>
                </c:pt>
              </c:numCache>
            </c:numRef>
          </c:xVal>
          <c:yVal>
            <c:numRef>
              <c:f>'W Gastro+Colon scopes'!$L$3:$L$4</c:f>
              <c:numCache>
                <c:formatCode>General</c:formatCode>
                <c:ptCount val="2"/>
                <c:pt idx="0">
                  <c:v>0</c:v>
                </c:pt>
                <c:pt idx="1">
                  <c:v>37656</c:v>
                </c:pt>
              </c:numCache>
            </c:numRef>
          </c:yVal>
          <c:smooth val="1"/>
          <c:extLst>
            <c:ext xmlns:c16="http://schemas.microsoft.com/office/drawing/2014/chart" uri="{C3380CC4-5D6E-409C-BE32-E72D297353CC}">
              <c16:uniqueId val="{00000004-3547-4507-8799-A6D2019B8A19}"/>
            </c:ext>
          </c:extLst>
        </c:ser>
        <c:ser>
          <c:idx val="4"/>
          <c:order val="4"/>
          <c:tx>
            <c:v>Level 3</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5-3547-4507-8799-A6D2019B8A19}"/>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'W Gastro+Colon scopes'!$K$6:$K$7</c:f>
              <c:numCache>
                <c:formatCode>General</c:formatCode>
                <c:ptCount val="2"/>
                <c:pt idx="0">
                  <c:v>17</c:v>
                </c:pt>
                <c:pt idx="1">
                  <c:v>17</c:v>
                </c:pt>
              </c:numCache>
            </c:numRef>
          </c:xVal>
          <c:yVal>
            <c:numRef>
              <c:f>'W Gastro+Colon scopes'!$L$6:$L$7</c:f>
              <c:numCache>
                <c:formatCode>General</c:formatCode>
                <c:ptCount val="2"/>
                <c:pt idx="0">
                  <c:v>0</c:v>
                </c:pt>
                <c:pt idx="1">
                  <c:v>33508.699999999997</c:v>
                </c:pt>
              </c:numCache>
            </c:numRef>
          </c:yVal>
          <c:smooth val="1"/>
          <c:extLst>
            <c:ext xmlns:c16="http://schemas.microsoft.com/office/drawing/2014/chart" uri="{C3380CC4-5D6E-409C-BE32-E72D297353CC}">
              <c16:uniqueId val="{00000006-3547-4507-8799-A6D2019B8A19}"/>
            </c:ext>
          </c:extLst>
        </c:ser>
        <c:dLbls>
          <c:showLegendKey val="0"/>
          <c:showVal val="0"/>
          <c:showCatName val="0"/>
          <c:showSerName val="0"/>
          <c:showPercent val="0"/>
          <c:showBubbleSize val="0"/>
        </c:dLbls>
        <c:axId val="419949736"/>
        <c:axId val="419954000"/>
      </c:scatterChart>
      <c:valAx>
        <c:axId val="419949736"/>
        <c:scaling>
          <c:orientation val="minMax"/>
          <c:max val="27"/>
          <c:min val="1"/>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a:t>Week</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54000"/>
        <c:crosses val="autoZero"/>
        <c:crossBetween val="midCat"/>
        <c:majorUnit val="2"/>
      </c:valAx>
      <c:valAx>
        <c:axId val="419954000"/>
        <c:scaling>
          <c:orientation val="minMax"/>
          <c:max val="4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Cumulative number of procedures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midCat"/>
      </c:valAx>
      <c:spPr>
        <a:noFill/>
        <a:ln>
          <a:noFill/>
        </a:ln>
        <a:effectLst/>
      </c:spPr>
    </c:plotArea>
    <c:legend>
      <c:legendPos val="t"/>
      <c:legendEntry>
        <c:idx val="3"/>
        <c:delete val="1"/>
      </c:legendEntry>
      <c:legendEntry>
        <c:idx val="4"/>
        <c:delete val="1"/>
      </c:legendEntry>
      <c:layout>
        <c:manualLayout>
          <c:xMode val="edge"/>
          <c:yMode val="edge"/>
          <c:x val="0.20195018850309418"/>
          <c:y val="0.17481121898597626"/>
          <c:w val="0.59609929882683976"/>
          <c:h val="8.450551690747394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Cumulative IV haematology attendances - total population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532377456589834"/>
          <c:y val="0.26331513672612011"/>
          <c:w val="0.76010999512569244"/>
          <c:h val="0.55958609007739857"/>
        </c:manualLayout>
      </c:layout>
      <c:scatterChart>
        <c:scatterStyle val="smoothMarker"/>
        <c:varyColors val="0"/>
        <c:ser>
          <c:idx val="2"/>
          <c:order val="0"/>
          <c:tx>
            <c:strRef>
              <c:f>'W IV Haem'!$L$2</c:f>
              <c:strCache>
                <c:ptCount val="1"/>
                <c:pt idx="0">
                  <c:v>2018</c:v>
                </c:pt>
              </c:strCache>
            </c:strRef>
          </c:tx>
          <c:spPr>
            <a:ln w="19050" cap="rnd">
              <a:solidFill>
                <a:schemeClr val="accent3"/>
              </a:solidFill>
              <a:round/>
            </a:ln>
            <a:effectLst/>
          </c:spPr>
          <c:marker>
            <c:symbol val="none"/>
          </c:marker>
          <c:xVal>
            <c:numRef>
              <c:f>'W IV Haem'!$A$3:$A$28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'W IV Haem'!$L$3:$L$28</c:f>
              <c:numCache>
                <c:formatCode>General</c:formatCode>
                <c:ptCount val="26"/>
                <c:pt idx="0">
                  <c:v>296</c:v>
                </c:pt>
                <c:pt idx="1">
                  <c:v>745</c:v>
                </c:pt>
                <c:pt idx="2">
                  <c:v>1197</c:v>
                </c:pt>
                <c:pt idx="3">
                  <c:v>1557</c:v>
                </c:pt>
                <c:pt idx="4">
                  <c:v>1892</c:v>
                </c:pt>
                <c:pt idx="5">
                  <c:v>2289</c:v>
                </c:pt>
                <c:pt idx="6">
                  <c:v>2740</c:v>
                </c:pt>
                <c:pt idx="7">
                  <c:v>3153</c:v>
                </c:pt>
                <c:pt idx="8">
                  <c:v>3528</c:v>
                </c:pt>
                <c:pt idx="9">
                  <c:v>3942</c:v>
                </c:pt>
                <c:pt idx="10">
                  <c:v>4381</c:v>
                </c:pt>
                <c:pt idx="11">
                  <c:v>4758</c:v>
                </c:pt>
                <c:pt idx="12">
                  <c:v>5101</c:v>
                </c:pt>
                <c:pt idx="13">
                  <c:v>5502</c:v>
                </c:pt>
                <c:pt idx="14">
                  <c:v>5915</c:v>
                </c:pt>
                <c:pt idx="15">
                  <c:v>6302</c:v>
                </c:pt>
                <c:pt idx="16">
                  <c:v>6649</c:v>
                </c:pt>
                <c:pt idx="17">
                  <c:v>7065</c:v>
                </c:pt>
                <c:pt idx="18">
                  <c:v>7493</c:v>
                </c:pt>
                <c:pt idx="19">
                  <c:v>7902</c:v>
                </c:pt>
                <c:pt idx="20">
                  <c:v>8314</c:v>
                </c:pt>
                <c:pt idx="21">
                  <c:v>8787</c:v>
                </c:pt>
                <c:pt idx="22">
                  <c:v>9228</c:v>
                </c:pt>
                <c:pt idx="23">
                  <c:v>9661</c:v>
                </c:pt>
                <c:pt idx="24">
                  <c:v>10114</c:v>
                </c:pt>
                <c:pt idx="25">
                  <c:v>10592</c:v>
                </c:pt>
              </c:numCache>
            </c:numRef>
          </c:yVal>
          <c:smooth val="1"/>
          <c:extLst>
            <c:ext xmlns:c16="http://schemas.microsoft.com/office/drawing/2014/chart" uri="{C3380CC4-5D6E-409C-BE32-E72D297353CC}">
              <c16:uniqueId val="{00000000-0EA0-4F00-8A26-E2D453BB8B73}"/>
            </c:ext>
          </c:extLst>
        </c:ser>
        <c:ser>
          <c:idx val="0"/>
          <c:order val="1"/>
          <c:tx>
            <c:strRef>
              <c:f>'W IV Haem'!$M$2</c:f>
              <c:strCache>
                <c:ptCount val="1"/>
                <c:pt idx="0">
                  <c:v>2019</c:v>
                </c:pt>
              </c:strCache>
            </c:strRef>
          </c:tx>
          <c:spPr>
            <a:ln w="19050" cap="rnd">
              <a:solidFill>
                <a:schemeClr val="accent1"/>
              </a:solidFill>
              <a:round/>
            </a:ln>
            <a:effectLst/>
          </c:spPr>
          <c:marker>
            <c:symbol val="none"/>
          </c:marker>
          <c:xVal>
            <c:numRef>
              <c:f>'W IV Haem'!$A$3:$A$28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'W IV Haem'!$M$3:$M$28</c:f>
              <c:numCache>
                <c:formatCode>General</c:formatCode>
                <c:ptCount val="26"/>
                <c:pt idx="0">
                  <c:v>309</c:v>
                </c:pt>
                <c:pt idx="1">
                  <c:v>843</c:v>
                </c:pt>
                <c:pt idx="2">
                  <c:v>1256</c:v>
                </c:pt>
                <c:pt idx="3">
                  <c:v>1601</c:v>
                </c:pt>
                <c:pt idx="4">
                  <c:v>1994</c:v>
                </c:pt>
                <c:pt idx="5">
                  <c:v>2409</c:v>
                </c:pt>
                <c:pt idx="6">
                  <c:v>2847</c:v>
                </c:pt>
                <c:pt idx="7">
                  <c:v>3247</c:v>
                </c:pt>
                <c:pt idx="8">
                  <c:v>3608</c:v>
                </c:pt>
                <c:pt idx="9">
                  <c:v>4006</c:v>
                </c:pt>
                <c:pt idx="10">
                  <c:v>4403</c:v>
                </c:pt>
                <c:pt idx="11">
                  <c:v>4775</c:v>
                </c:pt>
                <c:pt idx="12">
                  <c:v>5139</c:v>
                </c:pt>
                <c:pt idx="13">
                  <c:v>5537</c:v>
                </c:pt>
                <c:pt idx="14">
                  <c:v>5934</c:v>
                </c:pt>
                <c:pt idx="15">
                  <c:v>6218</c:v>
                </c:pt>
                <c:pt idx="16">
                  <c:v>6565</c:v>
                </c:pt>
                <c:pt idx="17">
                  <c:v>7007</c:v>
                </c:pt>
                <c:pt idx="18">
                  <c:v>7423</c:v>
                </c:pt>
                <c:pt idx="19">
                  <c:v>7776</c:v>
                </c:pt>
                <c:pt idx="20">
                  <c:v>8116</c:v>
                </c:pt>
                <c:pt idx="21">
                  <c:v>8465</c:v>
                </c:pt>
                <c:pt idx="22">
                  <c:v>8901</c:v>
                </c:pt>
                <c:pt idx="23">
                  <c:v>9266</c:v>
                </c:pt>
                <c:pt idx="24">
                  <c:v>9595</c:v>
                </c:pt>
                <c:pt idx="25">
                  <c:v>9987</c:v>
                </c:pt>
              </c:numCache>
            </c:numRef>
          </c:yVal>
          <c:smooth val="1"/>
          <c:extLst>
            <c:ext xmlns:c16="http://schemas.microsoft.com/office/drawing/2014/chart" uri="{C3380CC4-5D6E-409C-BE32-E72D297353CC}">
              <c16:uniqueId val="{00000001-0EA0-4F00-8A26-E2D453BB8B73}"/>
            </c:ext>
          </c:extLst>
        </c:ser>
        <c:ser>
          <c:idx val="1"/>
          <c:order val="2"/>
          <c:tx>
            <c:strRef>
              <c:f>'W IV Haem'!$N$2</c:f>
              <c:strCache>
                <c:ptCount val="1"/>
                <c:pt idx="0">
                  <c:v>2020</c:v>
                </c:pt>
              </c:strCache>
            </c:strRef>
          </c:tx>
          <c:spPr>
            <a:ln w="19050" cap="rnd">
              <a:solidFill>
                <a:schemeClr val="accent2"/>
              </a:solidFill>
              <a:round/>
            </a:ln>
            <a:effectLst/>
          </c:spPr>
          <c:marker>
            <c:symbol val="none"/>
          </c:marker>
          <c:xVal>
            <c:numRef>
              <c:f>'W IV Haem'!$A$3:$A$28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'W IV Haem'!$N$3:$N$19</c:f>
              <c:numCache>
                <c:formatCode>General</c:formatCode>
                <c:ptCount val="17"/>
                <c:pt idx="0">
                  <c:v>343</c:v>
                </c:pt>
                <c:pt idx="1">
                  <c:v>873</c:v>
                </c:pt>
                <c:pt idx="2">
                  <c:v>1299</c:v>
                </c:pt>
                <c:pt idx="3">
                  <c:v>1646</c:v>
                </c:pt>
                <c:pt idx="4">
                  <c:v>2100</c:v>
                </c:pt>
                <c:pt idx="5">
                  <c:v>2523</c:v>
                </c:pt>
                <c:pt idx="6">
                  <c:v>2973</c:v>
                </c:pt>
                <c:pt idx="7">
                  <c:v>3425</c:v>
                </c:pt>
                <c:pt idx="8">
                  <c:v>3862</c:v>
                </c:pt>
                <c:pt idx="9">
                  <c:v>4305</c:v>
                </c:pt>
                <c:pt idx="10">
                  <c:v>4749</c:v>
                </c:pt>
                <c:pt idx="11">
                  <c:v>5176</c:v>
                </c:pt>
                <c:pt idx="12">
                  <c:v>5561</c:v>
                </c:pt>
                <c:pt idx="13">
                  <c:v>5940</c:v>
                </c:pt>
                <c:pt idx="14">
                  <c:v>6248</c:v>
                </c:pt>
                <c:pt idx="15">
                  <c:v>6652</c:v>
                </c:pt>
                <c:pt idx="16">
                  <c:v>6989</c:v>
                </c:pt>
              </c:numCache>
            </c:numRef>
          </c:yVal>
          <c:smooth val="1"/>
          <c:extLst>
            <c:ext xmlns:c16="http://schemas.microsoft.com/office/drawing/2014/chart" uri="{C3380CC4-5D6E-409C-BE32-E72D297353CC}">
              <c16:uniqueId val="{00000002-0EA0-4F00-8A26-E2D453BB8B73}"/>
            </c:ext>
          </c:extLst>
        </c:ser>
        <c:ser>
          <c:idx val="3"/>
          <c:order val="3"/>
          <c:tx>
            <c:v>Level 4</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0EA0-4F00-8A26-E2D453BB8B73}"/>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'W IV Haem'!$V$4:$V$5</c:f>
              <c:numCache>
                <c:formatCode>General</c:formatCode>
                <c:ptCount val="2"/>
                <c:pt idx="0">
                  <c:v>12</c:v>
                </c:pt>
                <c:pt idx="1">
                  <c:v>12</c:v>
                </c:pt>
              </c:numCache>
            </c:numRef>
          </c:xVal>
          <c:yVal>
            <c:numRef>
              <c:f>'W IV Haem'!$W$4:$W$5</c:f>
              <c:numCache>
                <c:formatCode>General</c:formatCode>
                <c:ptCount val="2"/>
                <c:pt idx="0">
                  <c:v>0</c:v>
                </c:pt>
                <c:pt idx="1">
                  <c:v>9987</c:v>
                </c:pt>
              </c:numCache>
            </c:numRef>
          </c:yVal>
          <c:smooth val="1"/>
          <c:extLst>
            <c:ext xmlns:c16="http://schemas.microsoft.com/office/drawing/2014/chart" uri="{C3380CC4-5D6E-409C-BE32-E72D297353CC}">
              <c16:uniqueId val="{00000004-0EA0-4F00-8A26-E2D453BB8B73}"/>
            </c:ext>
          </c:extLst>
        </c:ser>
        <c:ser>
          <c:idx val="4"/>
          <c:order val="4"/>
          <c:tx>
            <c:v>Level 3</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5-0EA0-4F00-8A26-E2D453BB8B73}"/>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'W IV Haem'!$V$7:$V$8</c:f>
              <c:numCache>
                <c:formatCode>General</c:formatCode>
                <c:ptCount val="2"/>
                <c:pt idx="0">
                  <c:v>17</c:v>
                </c:pt>
                <c:pt idx="1">
                  <c:v>17</c:v>
                </c:pt>
              </c:numCache>
            </c:numRef>
          </c:xVal>
          <c:yVal>
            <c:numRef>
              <c:f>'W IV Haem'!$W$7:$W$8</c:f>
              <c:numCache>
                <c:formatCode>General</c:formatCode>
                <c:ptCount val="2"/>
                <c:pt idx="0">
                  <c:v>0</c:v>
                </c:pt>
                <c:pt idx="1">
                  <c:v>8988.3000000000011</c:v>
                </c:pt>
              </c:numCache>
            </c:numRef>
          </c:yVal>
          <c:smooth val="1"/>
          <c:extLst>
            <c:ext xmlns:c16="http://schemas.microsoft.com/office/drawing/2014/chart" uri="{C3380CC4-5D6E-409C-BE32-E72D297353CC}">
              <c16:uniqueId val="{00000006-0EA0-4F00-8A26-E2D453BB8B73}"/>
            </c:ext>
          </c:extLst>
        </c:ser>
        <c:dLbls>
          <c:showLegendKey val="0"/>
          <c:showVal val="0"/>
          <c:showCatName val="0"/>
          <c:showSerName val="0"/>
          <c:showPercent val="0"/>
          <c:showBubbleSize val="0"/>
        </c:dLbls>
        <c:axId val="419949736"/>
        <c:axId val="419954000"/>
      </c:scatterChart>
      <c:valAx>
        <c:axId val="419949736"/>
        <c:scaling>
          <c:orientation val="minMax"/>
          <c:max val="27"/>
          <c:min val="1"/>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a:t>Week</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54000"/>
        <c:crosses val="autoZero"/>
        <c:crossBetween val="midCat"/>
        <c:majorUnit val="2"/>
      </c:valAx>
      <c:valAx>
        <c:axId val="419954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Cumulative attendances</a:t>
                </a:r>
              </a:p>
            </c:rich>
          </c:tx>
          <c:layout>
            <c:manualLayout>
              <c:xMode val="edge"/>
              <c:yMode val="edge"/>
              <c:x val="1.7750166407810072E-2"/>
              <c:y val="0.3635739282589676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midCat"/>
      </c:valAx>
      <c:spPr>
        <a:noFill/>
        <a:ln>
          <a:noFill/>
        </a:ln>
        <a:effectLst/>
      </c:spPr>
    </c:plotArea>
    <c:legend>
      <c:legendPos val="t"/>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Cumulative IV haematology attendances - Māori</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596161968945232"/>
          <c:y val="0.26331513672612011"/>
          <c:w val="0.78579178303272523"/>
          <c:h val="0.55958609007739857"/>
        </c:manualLayout>
      </c:layout>
      <c:scatterChart>
        <c:scatterStyle val="smoothMarker"/>
        <c:varyColors val="0"/>
        <c:ser>
          <c:idx val="2"/>
          <c:order val="0"/>
          <c:tx>
            <c:v>2018</c:v>
          </c:tx>
          <c:spPr>
            <a:ln w="19050" cap="rnd">
              <a:solidFill>
                <a:schemeClr val="accent3"/>
              </a:solidFill>
              <a:round/>
            </a:ln>
            <a:effectLst/>
          </c:spPr>
          <c:marker>
            <c:symbol val="none"/>
          </c:marker>
          <c:xVal>
            <c:numRef>
              <c:f>'W IV Haem'!$A$3:$A$28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'W IV Haem'!$O$3:$O$28</c:f>
              <c:numCache>
                <c:formatCode>General</c:formatCode>
                <c:ptCount val="26"/>
                <c:pt idx="0">
                  <c:v>31</c:v>
                </c:pt>
                <c:pt idx="1">
                  <c:v>79</c:v>
                </c:pt>
                <c:pt idx="2">
                  <c:v>113</c:v>
                </c:pt>
                <c:pt idx="3">
                  <c:v>146</c:v>
                </c:pt>
                <c:pt idx="4">
                  <c:v>182</c:v>
                </c:pt>
                <c:pt idx="5">
                  <c:v>215</c:v>
                </c:pt>
                <c:pt idx="6">
                  <c:v>256</c:v>
                </c:pt>
                <c:pt idx="7">
                  <c:v>296</c:v>
                </c:pt>
                <c:pt idx="8">
                  <c:v>333</c:v>
                </c:pt>
                <c:pt idx="9">
                  <c:v>370</c:v>
                </c:pt>
                <c:pt idx="10">
                  <c:v>414</c:v>
                </c:pt>
                <c:pt idx="11">
                  <c:v>450</c:v>
                </c:pt>
                <c:pt idx="12">
                  <c:v>478</c:v>
                </c:pt>
                <c:pt idx="13">
                  <c:v>511</c:v>
                </c:pt>
                <c:pt idx="14">
                  <c:v>545</c:v>
                </c:pt>
                <c:pt idx="15">
                  <c:v>577</c:v>
                </c:pt>
                <c:pt idx="16">
                  <c:v>604</c:v>
                </c:pt>
                <c:pt idx="17">
                  <c:v>627</c:v>
                </c:pt>
                <c:pt idx="18">
                  <c:v>656</c:v>
                </c:pt>
                <c:pt idx="19">
                  <c:v>688</c:v>
                </c:pt>
                <c:pt idx="20">
                  <c:v>727</c:v>
                </c:pt>
                <c:pt idx="21">
                  <c:v>758</c:v>
                </c:pt>
                <c:pt idx="22">
                  <c:v>798</c:v>
                </c:pt>
                <c:pt idx="23">
                  <c:v>844</c:v>
                </c:pt>
                <c:pt idx="24">
                  <c:v>887</c:v>
                </c:pt>
                <c:pt idx="25">
                  <c:v>921</c:v>
                </c:pt>
              </c:numCache>
            </c:numRef>
          </c:yVal>
          <c:smooth val="1"/>
          <c:extLst>
            <c:ext xmlns:c16="http://schemas.microsoft.com/office/drawing/2014/chart" uri="{C3380CC4-5D6E-409C-BE32-E72D297353CC}">
              <c16:uniqueId val="{00000000-2A73-4046-8A08-C6BF039B9DFE}"/>
            </c:ext>
          </c:extLst>
        </c:ser>
        <c:ser>
          <c:idx val="0"/>
          <c:order val="1"/>
          <c:tx>
            <c:v>2019</c:v>
          </c:tx>
          <c:spPr>
            <a:ln w="19050" cap="rnd">
              <a:solidFill>
                <a:schemeClr val="accent1"/>
              </a:solidFill>
              <a:round/>
            </a:ln>
            <a:effectLst/>
          </c:spPr>
          <c:marker>
            <c:symbol val="none"/>
          </c:marker>
          <c:xVal>
            <c:numRef>
              <c:f>'W IV Haem'!$A$3:$A$28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'W IV Haem'!$P$3:$P$28</c:f>
              <c:numCache>
                <c:formatCode>General</c:formatCode>
                <c:ptCount val="26"/>
                <c:pt idx="0">
                  <c:v>40</c:v>
                </c:pt>
                <c:pt idx="1">
                  <c:v>91</c:v>
                </c:pt>
                <c:pt idx="2">
                  <c:v>145</c:v>
                </c:pt>
                <c:pt idx="3">
                  <c:v>183</c:v>
                </c:pt>
                <c:pt idx="4">
                  <c:v>235</c:v>
                </c:pt>
                <c:pt idx="5">
                  <c:v>283</c:v>
                </c:pt>
                <c:pt idx="6">
                  <c:v>326</c:v>
                </c:pt>
                <c:pt idx="7">
                  <c:v>382</c:v>
                </c:pt>
                <c:pt idx="8">
                  <c:v>433</c:v>
                </c:pt>
                <c:pt idx="9">
                  <c:v>473</c:v>
                </c:pt>
                <c:pt idx="10">
                  <c:v>513</c:v>
                </c:pt>
                <c:pt idx="11">
                  <c:v>555</c:v>
                </c:pt>
                <c:pt idx="12">
                  <c:v>599</c:v>
                </c:pt>
                <c:pt idx="13">
                  <c:v>630</c:v>
                </c:pt>
                <c:pt idx="14">
                  <c:v>670</c:v>
                </c:pt>
                <c:pt idx="15">
                  <c:v>709</c:v>
                </c:pt>
                <c:pt idx="16">
                  <c:v>744</c:v>
                </c:pt>
                <c:pt idx="17">
                  <c:v>787</c:v>
                </c:pt>
                <c:pt idx="18">
                  <c:v>829</c:v>
                </c:pt>
                <c:pt idx="19">
                  <c:v>874</c:v>
                </c:pt>
                <c:pt idx="20">
                  <c:v>922</c:v>
                </c:pt>
                <c:pt idx="21">
                  <c:v>957</c:v>
                </c:pt>
                <c:pt idx="22">
                  <c:v>997</c:v>
                </c:pt>
                <c:pt idx="23">
                  <c:v>1042</c:v>
                </c:pt>
                <c:pt idx="24">
                  <c:v>1077</c:v>
                </c:pt>
                <c:pt idx="25">
                  <c:v>1121</c:v>
                </c:pt>
              </c:numCache>
            </c:numRef>
          </c:yVal>
          <c:smooth val="1"/>
          <c:extLst>
            <c:ext xmlns:c16="http://schemas.microsoft.com/office/drawing/2014/chart" uri="{C3380CC4-5D6E-409C-BE32-E72D297353CC}">
              <c16:uniqueId val="{00000001-2A73-4046-8A08-C6BF039B9DFE}"/>
            </c:ext>
          </c:extLst>
        </c:ser>
        <c:ser>
          <c:idx val="1"/>
          <c:order val="2"/>
          <c:tx>
            <c:v>2020</c:v>
          </c:tx>
          <c:spPr>
            <a:ln w="19050" cap="rnd">
              <a:solidFill>
                <a:schemeClr val="accent2"/>
              </a:solidFill>
              <a:round/>
            </a:ln>
            <a:effectLst/>
          </c:spPr>
          <c:marker>
            <c:symbol val="none"/>
          </c:marker>
          <c:xVal>
            <c:numRef>
              <c:f>'W IV Haem'!$A$3:$A$28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'W IV Haem'!$Q$3:$Q$19</c:f>
              <c:numCache>
                <c:formatCode>General</c:formatCode>
                <c:ptCount val="17"/>
                <c:pt idx="0">
                  <c:v>38</c:v>
                </c:pt>
                <c:pt idx="1">
                  <c:v>87</c:v>
                </c:pt>
                <c:pt idx="2">
                  <c:v>129</c:v>
                </c:pt>
                <c:pt idx="3">
                  <c:v>174</c:v>
                </c:pt>
                <c:pt idx="4">
                  <c:v>221</c:v>
                </c:pt>
                <c:pt idx="5">
                  <c:v>276</c:v>
                </c:pt>
                <c:pt idx="6">
                  <c:v>330</c:v>
                </c:pt>
                <c:pt idx="7">
                  <c:v>379</c:v>
                </c:pt>
                <c:pt idx="8">
                  <c:v>433</c:v>
                </c:pt>
                <c:pt idx="9">
                  <c:v>481</c:v>
                </c:pt>
                <c:pt idx="10">
                  <c:v>520</c:v>
                </c:pt>
                <c:pt idx="11">
                  <c:v>561</c:v>
                </c:pt>
                <c:pt idx="12">
                  <c:v>611</c:v>
                </c:pt>
                <c:pt idx="13">
                  <c:v>661</c:v>
                </c:pt>
                <c:pt idx="14">
                  <c:v>697</c:v>
                </c:pt>
                <c:pt idx="15">
                  <c:v>741</c:v>
                </c:pt>
                <c:pt idx="16">
                  <c:v>785</c:v>
                </c:pt>
              </c:numCache>
            </c:numRef>
          </c:yVal>
          <c:smooth val="1"/>
          <c:extLst>
            <c:ext xmlns:c16="http://schemas.microsoft.com/office/drawing/2014/chart" uri="{C3380CC4-5D6E-409C-BE32-E72D297353CC}">
              <c16:uniqueId val="{00000002-2A73-4046-8A08-C6BF039B9DFE}"/>
            </c:ext>
          </c:extLst>
        </c:ser>
        <c:ser>
          <c:idx val="3"/>
          <c:order val="3"/>
          <c:tx>
            <c:v>Level 4</c:v>
          </c:tx>
          <c:spPr>
            <a:ln w="28575" cap="rnd">
              <a:solidFill>
                <a:schemeClr val="tx1"/>
              </a:solidFill>
              <a:prstDash val="sysDot"/>
              <a:round/>
            </a:ln>
            <a:effectLst/>
          </c:spPr>
          <c:marker>
            <c:symbol val="none"/>
          </c:marker>
          <c:dPt>
            <c:idx val="1"/>
            <c:marker>
              <c:symbol val="none"/>
            </c:marker>
            <c:bubble3D val="0"/>
            <c:spPr>
              <a:ln w="22225" cap="rnd">
                <a:solidFill>
                  <a:schemeClr val="tx1"/>
                </a:solidFill>
                <a:prstDash val="sysDot"/>
                <a:round/>
              </a:ln>
              <a:effectLst/>
            </c:spPr>
            <c:extLst>
              <c:ext xmlns:c16="http://schemas.microsoft.com/office/drawing/2014/chart" uri="{C3380CC4-5D6E-409C-BE32-E72D297353CC}">
                <c16:uniqueId val="{00000007-2A73-4046-8A08-C6BF039B9DFE}"/>
              </c:ext>
            </c:extLst>
          </c:dPt>
          <c:dLbls>
            <c:dLbl>
              <c:idx val="0"/>
              <c:delete val="1"/>
              <c:extLst>
                <c:ext xmlns:c15="http://schemas.microsoft.com/office/drawing/2012/chart" uri="{CE6537A1-D6FC-4f65-9D91-7224C49458BB}"/>
                <c:ext xmlns:c16="http://schemas.microsoft.com/office/drawing/2014/chart" uri="{C3380CC4-5D6E-409C-BE32-E72D297353CC}">
                  <c16:uniqueId val="{00000003-2A73-4046-8A08-C6BF039B9DFE}"/>
                </c:ext>
              </c:extLst>
            </c:dLbl>
            <c:dLbl>
              <c:idx val="1"/>
              <c:layout>
                <c:manualLayout>
                  <c:x val="-8.1312820512820516E-2"/>
                  <c:y val="-2.5058656805279533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2A73-4046-8A08-C6BF039B9DFE}"/>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'W IV Haem'!$V$4:$V$5</c:f>
              <c:numCache>
                <c:formatCode>General</c:formatCode>
                <c:ptCount val="2"/>
                <c:pt idx="0">
                  <c:v>12</c:v>
                </c:pt>
                <c:pt idx="1">
                  <c:v>12</c:v>
                </c:pt>
              </c:numCache>
            </c:numRef>
          </c:xVal>
          <c:yVal>
            <c:numRef>
              <c:f>'W IV Haem'!$X$4:$X$5</c:f>
              <c:numCache>
                <c:formatCode>General</c:formatCode>
                <c:ptCount val="2"/>
                <c:pt idx="0">
                  <c:v>0</c:v>
                </c:pt>
                <c:pt idx="1">
                  <c:v>1121</c:v>
                </c:pt>
              </c:numCache>
            </c:numRef>
          </c:yVal>
          <c:smooth val="1"/>
          <c:extLst>
            <c:ext xmlns:c16="http://schemas.microsoft.com/office/drawing/2014/chart" uri="{C3380CC4-5D6E-409C-BE32-E72D297353CC}">
              <c16:uniqueId val="{00000004-2A73-4046-8A08-C6BF039B9DFE}"/>
            </c:ext>
          </c:extLst>
        </c:ser>
        <c:ser>
          <c:idx val="4"/>
          <c:order val="4"/>
          <c:tx>
            <c:v>Level 3</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5-2A73-4046-8A08-C6BF039B9DFE}"/>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'W IV Haem'!$V$7:$V$8</c:f>
              <c:numCache>
                <c:formatCode>General</c:formatCode>
                <c:ptCount val="2"/>
                <c:pt idx="0">
                  <c:v>17</c:v>
                </c:pt>
                <c:pt idx="1">
                  <c:v>17</c:v>
                </c:pt>
              </c:numCache>
            </c:numRef>
          </c:xVal>
          <c:yVal>
            <c:numRef>
              <c:f>'W IV Haem'!$X$7:$X$8</c:f>
              <c:numCache>
                <c:formatCode>General</c:formatCode>
                <c:ptCount val="2"/>
                <c:pt idx="0">
                  <c:v>0</c:v>
                </c:pt>
                <c:pt idx="1">
                  <c:v>1008.9</c:v>
                </c:pt>
              </c:numCache>
            </c:numRef>
          </c:yVal>
          <c:smooth val="1"/>
          <c:extLst>
            <c:ext xmlns:c16="http://schemas.microsoft.com/office/drawing/2014/chart" uri="{C3380CC4-5D6E-409C-BE32-E72D297353CC}">
              <c16:uniqueId val="{00000006-2A73-4046-8A08-C6BF039B9DFE}"/>
            </c:ext>
          </c:extLst>
        </c:ser>
        <c:dLbls>
          <c:showLegendKey val="0"/>
          <c:showVal val="0"/>
          <c:showCatName val="0"/>
          <c:showSerName val="0"/>
          <c:showPercent val="0"/>
          <c:showBubbleSize val="0"/>
        </c:dLbls>
        <c:axId val="419949736"/>
        <c:axId val="419954000"/>
      </c:scatterChart>
      <c:valAx>
        <c:axId val="419949736"/>
        <c:scaling>
          <c:orientation val="minMax"/>
          <c:max val="27"/>
          <c:min val="1"/>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a:t>Week</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54000"/>
        <c:crosses val="autoZero"/>
        <c:crossBetween val="midCat"/>
        <c:majorUnit val="2"/>
      </c:valAx>
      <c:valAx>
        <c:axId val="419954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Cumulative attendances</a:t>
                </a:r>
              </a:p>
            </c:rich>
          </c:tx>
          <c:layout>
            <c:manualLayout>
              <c:xMode val="edge"/>
              <c:yMode val="edge"/>
              <c:x val="2.0016012810248198E-2"/>
              <c:y val="0.3635739282589676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midCat"/>
      </c:valAx>
      <c:spPr>
        <a:noFill/>
        <a:ln>
          <a:noFill/>
        </a:ln>
        <a:effectLst/>
      </c:spPr>
    </c:plotArea>
    <c:legend>
      <c:legendPos val="t"/>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Cumulative gastroscopies and colonoscopies - Māori</a:t>
            </a:r>
            <a:endParaRPr lang="en-NZ"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921042650648495"/>
          <c:y val="0.28052355268370055"/>
          <c:w val="0.75088837958655741"/>
          <c:h val="0.59103923302306383"/>
        </c:manualLayout>
      </c:layout>
      <c:scatterChart>
        <c:scatterStyle val="smoothMarker"/>
        <c:varyColors val="0"/>
        <c:ser>
          <c:idx val="2"/>
          <c:order val="0"/>
          <c:tx>
            <c:v>2018</c:v>
          </c:tx>
          <c:spPr>
            <a:ln w="19050" cap="rnd">
              <a:solidFill>
                <a:schemeClr val="accent3"/>
              </a:solidFill>
              <a:round/>
            </a:ln>
            <a:effectLst/>
          </c:spPr>
          <c:marker>
            <c:symbol val="none"/>
          </c:marker>
          <c:yVal>
            <c:numRef>
              <c:f>'W Gastro+Colon scopes'!$P$3:$P$28</c:f>
              <c:numCache>
                <c:formatCode>General</c:formatCode>
                <c:ptCount val="26"/>
                <c:pt idx="0">
                  <c:v>25</c:v>
                </c:pt>
                <c:pt idx="1">
                  <c:v>124</c:v>
                </c:pt>
                <c:pt idx="2">
                  <c:v>222</c:v>
                </c:pt>
                <c:pt idx="3">
                  <c:v>331</c:v>
                </c:pt>
                <c:pt idx="4">
                  <c:v>431</c:v>
                </c:pt>
                <c:pt idx="5">
                  <c:v>529</c:v>
                </c:pt>
                <c:pt idx="6">
                  <c:v>635</c:v>
                </c:pt>
                <c:pt idx="7">
                  <c:v>775</c:v>
                </c:pt>
                <c:pt idx="8">
                  <c:v>878</c:v>
                </c:pt>
                <c:pt idx="9">
                  <c:v>998</c:v>
                </c:pt>
                <c:pt idx="10">
                  <c:v>1111</c:v>
                </c:pt>
                <c:pt idx="11">
                  <c:v>1227</c:v>
                </c:pt>
                <c:pt idx="12">
                  <c:v>1319</c:v>
                </c:pt>
                <c:pt idx="13">
                  <c:v>1425</c:v>
                </c:pt>
                <c:pt idx="14">
                  <c:v>1543</c:v>
                </c:pt>
                <c:pt idx="15">
                  <c:v>1659</c:v>
                </c:pt>
                <c:pt idx="16">
                  <c:v>1759</c:v>
                </c:pt>
                <c:pt idx="17">
                  <c:v>1888</c:v>
                </c:pt>
                <c:pt idx="18">
                  <c:v>2007</c:v>
                </c:pt>
                <c:pt idx="19">
                  <c:v>2134</c:v>
                </c:pt>
                <c:pt idx="20">
                  <c:v>2280</c:v>
                </c:pt>
                <c:pt idx="21">
                  <c:v>2396</c:v>
                </c:pt>
                <c:pt idx="22">
                  <c:v>2506</c:v>
                </c:pt>
                <c:pt idx="23">
                  <c:v>2667</c:v>
                </c:pt>
                <c:pt idx="24">
                  <c:v>2783</c:v>
                </c:pt>
                <c:pt idx="25">
                  <c:v>2906</c:v>
                </c:pt>
              </c:numCache>
            </c:numRef>
          </c:yVal>
          <c:smooth val="1"/>
          <c:extLst>
            <c:ext xmlns:c16="http://schemas.microsoft.com/office/drawing/2014/chart" uri="{C3380CC4-5D6E-409C-BE32-E72D297353CC}">
              <c16:uniqueId val="{00000000-CA67-43BC-8B03-ED62F1DD8509}"/>
            </c:ext>
          </c:extLst>
        </c:ser>
        <c:ser>
          <c:idx val="0"/>
          <c:order val="1"/>
          <c:tx>
            <c:v>2019</c:v>
          </c:tx>
          <c:spPr>
            <a:ln w="19050" cap="rnd">
              <a:solidFill>
                <a:schemeClr val="accent1"/>
              </a:solidFill>
              <a:round/>
            </a:ln>
            <a:effectLst/>
          </c:spPr>
          <c:marker>
            <c:symbol val="none"/>
          </c:marker>
          <c:yVal>
            <c:numRef>
              <c:f>'W Gastro+Colon scopes'!$Q$3:$Q$28</c:f>
              <c:numCache>
                <c:formatCode>General</c:formatCode>
                <c:ptCount val="26"/>
                <c:pt idx="0">
                  <c:v>59</c:v>
                </c:pt>
                <c:pt idx="1">
                  <c:v>192</c:v>
                </c:pt>
                <c:pt idx="2">
                  <c:v>303</c:v>
                </c:pt>
                <c:pt idx="3">
                  <c:v>443</c:v>
                </c:pt>
                <c:pt idx="4">
                  <c:v>583</c:v>
                </c:pt>
                <c:pt idx="5">
                  <c:v>708</c:v>
                </c:pt>
                <c:pt idx="6">
                  <c:v>825</c:v>
                </c:pt>
                <c:pt idx="7">
                  <c:v>979</c:v>
                </c:pt>
                <c:pt idx="8">
                  <c:v>1111</c:v>
                </c:pt>
                <c:pt idx="9">
                  <c:v>1252</c:v>
                </c:pt>
                <c:pt idx="10">
                  <c:v>1366</c:v>
                </c:pt>
                <c:pt idx="11">
                  <c:v>1518</c:v>
                </c:pt>
                <c:pt idx="12">
                  <c:v>1672</c:v>
                </c:pt>
                <c:pt idx="13">
                  <c:v>1812</c:v>
                </c:pt>
                <c:pt idx="14">
                  <c:v>1954</c:v>
                </c:pt>
                <c:pt idx="15">
                  <c:v>2040</c:v>
                </c:pt>
                <c:pt idx="16">
                  <c:v>2140</c:v>
                </c:pt>
                <c:pt idx="17">
                  <c:v>2298</c:v>
                </c:pt>
                <c:pt idx="18">
                  <c:v>2426</c:v>
                </c:pt>
                <c:pt idx="19">
                  <c:v>2559</c:v>
                </c:pt>
                <c:pt idx="20">
                  <c:v>2693</c:v>
                </c:pt>
                <c:pt idx="21">
                  <c:v>2801</c:v>
                </c:pt>
                <c:pt idx="22">
                  <c:v>2969</c:v>
                </c:pt>
                <c:pt idx="23">
                  <c:v>3140</c:v>
                </c:pt>
                <c:pt idx="24">
                  <c:v>3297</c:v>
                </c:pt>
                <c:pt idx="25">
                  <c:v>3460</c:v>
                </c:pt>
              </c:numCache>
            </c:numRef>
          </c:yVal>
          <c:smooth val="1"/>
          <c:extLst>
            <c:ext xmlns:c16="http://schemas.microsoft.com/office/drawing/2014/chart" uri="{C3380CC4-5D6E-409C-BE32-E72D297353CC}">
              <c16:uniqueId val="{00000001-CA67-43BC-8B03-ED62F1DD8509}"/>
            </c:ext>
          </c:extLst>
        </c:ser>
        <c:ser>
          <c:idx val="1"/>
          <c:order val="2"/>
          <c:tx>
            <c:v>2020</c:v>
          </c:tx>
          <c:spPr>
            <a:ln w="19050" cap="rnd">
              <a:solidFill>
                <a:schemeClr val="accent2"/>
              </a:solidFill>
              <a:round/>
            </a:ln>
            <a:effectLst/>
          </c:spPr>
          <c:marker>
            <c:symbol val="none"/>
          </c:marker>
          <c:yVal>
            <c:numRef>
              <c:f>'W Gastro+Colon scopes'!$R$3:$R$19</c:f>
              <c:numCache>
                <c:formatCode>General</c:formatCode>
                <c:ptCount val="17"/>
                <c:pt idx="0">
                  <c:v>55</c:v>
                </c:pt>
                <c:pt idx="1">
                  <c:v>212</c:v>
                </c:pt>
                <c:pt idx="2">
                  <c:v>356</c:v>
                </c:pt>
                <c:pt idx="3">
                  <c:v>466</c:v>
                </c:pt>
                <c:pt idx="4">
                  <c:v>619</c:v>
                </c:pt>
                <c:pt idx="5">
                  <c:v>744</c:v>
                </c:pt>
                <c:pt idx="6">
                  <c:v>895</c:v>
                </c:pt>
                <c:pt idx="7">
                  <c:v>1072</c:v>
                </c:pt>
                <c:pt idx="8">
                  <c:v>1240</c:v>
                </c:pt>
                <c:pt idx="9">
                  <c:v>1407</c:v>
                </c:pt>
                <c:pt idx="10">
                  <c:v>1571</c:v>
                </c:pt>
                <c:pt idx="11">
                  <c:v>1706</c:v>
                </c:pt>
                <c:pt idx="12">
                  <c:v>1738</c:v>
                </c:pt>
                <c:pt idx="13">
                  <c:v>1766</c:v>
                </c:pt>
                <c:pt idx="14">
                  <c:v>1781</c:v>
                </c:pt>
                <c:pt idx="15">
                  <c:v>1818</c:v>
                </c:pt>
                <c:pt idx="16">
                  <c:v>1859</c:v>
                </c:pt>
              </c:numCache>
            </c:numRef>
          </c:yVal>
          <c:smooth val="1"/>
          <c:extLst>
            <c:ext xmlns:c16="http://schemas.microsoft.com/office/drawing/2014/chart" uri="{C3380CC4-5D6E-409C-BE32-E72D297353CC}">
              <c16:uniqueId val="{00000002-CA67-43BC-8B03-ED62F1DD8509}"/>
            </c:ext>
          </c:extLst>
        </c:ser>
        <c:ser>
          <c:idx val="3"/>
          <c:order val="3"/>
          <c:tx>
            <c:v>Level 4</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CA67-43BC-8B03-ED62F1DD8509}"/>
                </c:ext>
              </c:extLst>
            </c:dLbl>
            <c:dLbl>
              <c:idx val="1"/>
              <c:layout>
                <c:manualLayout>
                  <c:x val="-8.1597365170852199E-2"/>
                  <c:y val="-2.99500421455151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CA67-43BC-8B03-ED62F1DD8509}"/>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'W Gastro+Colon scopes'!$V$3:$V$4</c:f>
              <c:numCache>
                <c:formatCode>General</c:formatCode>
                <c:ptCount val="2"/>
                <c:pt idx="0">
                  <c:v>13</c:v>
                </c:pt>
                <c:pt idx="1">
                  <c:v>13</c:v>
                </c:pt>
              </c:numCache>
            </c:numRef>
          </c:xVal>
          <c:yVal>
            <c:numRef>
              <c:f>'W Gastro+Colon scopes'!$W$3:$W$4</c:f>
              <c:numCache>
                <c:formatCode>General</c:formatCode>
                <c:ptCount val="2"/>
                <c:pt idx="0">
                  <c:v>0</c:v>
                </c:pt>
                <c:pt idx="1">
                  <c:v>3460</c:v>
                </c:pt>
              </c:numCache>
            </c:numRef>
          </c:yVal>
          <c:smooth val="1"/>
          <c:extLst>
            <c:ext xmlns:c16="http://schemas.microsoft.com/office/drawing/2014/chart" uri="{C3380CC4-5D6E-409C-BE32-E72D297353CC}">
              <c16:uniqueId val="{00000004-CA67-43BC-8B03-ED62F1DD8509}"/>
            </c:ext>
          </c:extLst>
        </c:ser>
        <c:ser>
          <c:idx val="4"/>
          <c:order val="4"/>
          <c:tx>
            <c:v>Level 3</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5-CA67-43BC-8B03-ED62F1DD8509}"/>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'W Gastro+Colon scopes'!$V$6:$V$7</c:f>
              <c:numCache>
                <c:formatCode>General</c:formatCode>
                <c:ptCount val="2"/>
                <c:pt idx="0">
                  <c:v>17</c:v>
                </c:pt>
                <c:pt idx="1">
                  <c:v>17</c:v>
                </c:pt>
              </c:numCache>
            </c:numRef>
          </c:xVal>
          <c:yVal>
            <c:numRef>
              <c:f>'W Gastro+Colon scopes'!$W$6:$W$7</c:f>
              <c:numCache>
                <c:formatCode>General</c:formatCode>
                <c:ptCount val="2"/>
                <c:pt idx="0">
                  <c:v>0</c:v>
                </c:pt>
                <c:pt idx="1">
                  <c:v>2941</c:v>
                </c:pt>
              </c:numCache>
            </c:numRef>
          </c:yVal>
          <c:smooth val="1"/>
          <c:extLst>
            <c:ext xmlns:c16="http://schemas.microsoft.com/office/drawing/2014/chart" uri="{C3380CC4-5D6E-409C-BE32-E72D297353CC}">
              <c16:uniqueId val="{00000006-CA67-43BC-8B03-ED62F1DD8509}"/>
            </c:ext>
          </c:extLst>
        </c:ser>
        <c:dLbls>
          <c:showLegendKey val="0"/>
          <c:showVal val="0"/>
          <c:showCatName val="0"/>
          <c:showSerName val="0"/>
          <c:showPercent val="0"/>
          <c:showBubbleSize val="0"/>
        </c:dLbls>
        <c:axId val="419949736"/>
        <c:axId val="419954000"/>
      </c:scatterChart>
      <c:valAx>
        <c:axId val="419949736"/>
        <c:scaling>
          <c:orientation val="minMax"/>
          <c:max val="27"/>
          <c:min val="1"/>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a:t>Week</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54000"/>
        <c:crosses val="autoZero"/>
        <c:crossBetween val="midCat"/>
        <c:majorUnit val="2"/>
      </c:valAx>
      <c:valAx>
        <c:axId val="419954000"/>
        <c:scaling>
          <c:orientation val="minMax"/>
          <c:max val="3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Cumulative number of procedures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midCat"/>
      </c:valAx>
      <c:spPr>
        <a:noFill/>
        <a:ln>
          <a:noFill/>
        </a:ln>
        <a:effectLst/>
      </c:spPr>
    </c:plotArea>
    <c:legend>
      <c:legendPos val="t"/>
      <c:legendEntry>
        <c:idx val="3"/>
        <c:delete val="1"/>
      </c:legendEntry>
      <c:legendEntry>
        <c:idx val="4"/>
        <c:delete val="1"/>
      </c:legendEntry>
      <c:layout>
        <c:manualLayout>
          <c:xMode val="edge"/>
          <c:yMode val="edge"/>
          <c:x val="0.20195018850309418"/>
          <c:y val="0.14538729329852043"/>
          <c:w val="0.59609929882683976"/>
          <c:h val="6.817808022039020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0" i="0" u="none" strike="noStrike" kern="1200" spc="0" baseline="0">
                <a:solidFill>
                  <a:schemeClr val="tx1">
                    <a:lumMod val="65000"/>
                    <a:lumOff val="35000"/>
                  </a:schemeClr>
                </a:solidFill>
                <a:latin typeface="+mn-lt"/>
                <a:ea typeface="+mn-ea"/>
                <a:cs typeface="+mn-cs"/>
              </a:defRPr>
            </a:pPr>
            <a:r>
              <a:rPr lang="en-NZ" sz="1200"/>
              <a:t>Bronchoscopies - total population</a:t>
            </a:r>
          </a:p>
        </c:rich>
      </c:tx>
      <c:overlay val="0"/>
      <c:spPr>
        <a:noFill/>
        <a:ln>
          <a:noFill/>
        </a:ln>
        <a:effectLst/>
      </c:spPr>
      <c:txPr>
        <a:bodyPr rot="0" spcFirstLastPara="1" vertOverflow="ellipsis" vert="horz" wrap="square" anchor="ctr" anchorCtr="1"/>
        <a:lstStyle/>
        <a:p>
          <a:pPr algn="ctr" rtl="0">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753507663393928"/>
          <c:y val="0.25762327581392752"/>
          <c:w val="0.80719743365412655"/>
          <c:h val="0.64147018856685467"/>
        </c:manualLayout>
      </c:layout>
      <c:barChart>
        <c:barDir val="col"/>
        <c:grouping val="clustered"/>
        <c:varyColors val="0"/>
        <c:ser>
          <c:idx val="2"/>
          <c:order val="0"/>
          <c:tx>
            <c:strRef>
              <c:f>'M Bronchoscopies'!$B$1</c:f>
              <c:strCache>
                <c:ptCount val="1"/>
                <c:pt idx="0">
                  <c:v>2018</c:v>
                </c:pt>
              </c:strCache>
            </c:strRef>
          </c:tx>
          <c:spPr>
            <a:solidFill>
              <a:schemeClr val="accent3"/>
            </a:solidFill>
            <a:ln>
              <a:noFill/>
            </a:ln>
            <a:effectLst/>
          </c:spPr>
          <c:invertIfNegative val="0"/>
          <c:val>
            <c:numRef>
              <c:f>'M Bronchoscopies'!$B$2:$B$5</c:f>
              <c:numCache>
                <c:formatCode>General</c:formatCode>
                <c:ptCount val="4"/>
                <c:pt idx="0">
                  <c:v>197</c:v>
                </c:pt>
                <c:pt idx="1">
                  <c:v>178</c:v>
                </c:pt>
                <c:pt idx="2">
                  <c:v>204</c:v>
                </c:pt>
                <c:pt idx="3">
                  <c:v>161</c:v>
                </c:pt>
              </c:numCache>
            </c:numRef>
          </c:val>
          <c:extLst>
            <c:ext xmlns:c16="http://schemas.microsoft.com/office/drawing/2014/chart" uri="{C3380CC4-5D6E-409C-BE32-E72D297353CC}">
              <c16:uniqueId val="{00000000-2C4D-4B89-86F0-811CDA0CBBB1}"/>
            </c:ext>
          </c:extLst>
        </c:ser>
        <c:ser>
          <c:idx val="0"/>
          <c:order val="1"/>
          <c:tx>
            <c:strRef>
              <c:f>'M Bronchoscopies'!$C$1</c:f>
              <c:strCache>
                <c:ptCount val="1"/>
                <c:pt idx="0">
                  <c:v>2019</c:v>
                </c:pt>
              </c:strCache>
            </c:strRef>
          </c:tx>
          <c:spPr>
            <a:solidFill>
              <a:schemeClr val="accent1"/>
            </a:solidFill>
            <a:ln>
              <a:noFill/>
            </a:ln>
            <a:effectLst/>
          </c:spPr>
          <c:invertIfNegative val="0"/>
          <c:cat>
            <c:strRef>
              <c:f>'M Bronchoscopies'!$A$2:$A$5</c:f>
              <c:strCache>
                <c:ptCount val="4"/>
                <c:pt idx="0">
                  <c:v>Jan</c:v>
                </c:pt>
                <c:pt idx="1">
                  <c:v>Feb</c:v>
                </c:pt>
                <c:pt idx="2">
                  <c:v>Mar</c:v>
                </c:pt>
                <c:pt idx="3">
                  <c:v>Apr</c:v>
                </c:pt>
              </c:strCache>
            </c:strRef>
          </c:cat>
          <c:val>
            <c:numRef>
              <c:f>'M Bronchoscopies'!$C$2:$C$5</c:f>
              <c:numCache>
                <c:formatCode>General</c:formatCode>
                <c:ptCount val="4"/>
                <c:pt idx="0">
                  <c:v>228</c:v>
                </c:pt>
                <c:pt idx="1">
                  <c:v>222</c:v>
                </c:pt>
                <c:pt idx="2">
                  <c:v>214</c:v>
                </c:pt>
                <c:pt idx="3">
                  <c:v>237</c:v>
                </c:pt>
              </c:numCache>
            </c:numRef>
          </c:val>
          <c:extLst>
            <c:ext xmlns:c16="http://schemas.microsoft.com/office/drawing/2014/chart" uri="{C3380CC4-5D6E-409C-BE32-E72D297353CC}">
              <c16:uniqueId val="{00000001-2C4D-4B89-86F0-811CDA0CBBB1}"/>
            </c:ext>
          </c:extLst>
        </c:ser>
        <c:ser>
          <c:idx val="1"/>
          <c:order val="2"/>
          <c:tx>
            <c:strRef>
              <c:f>'M Bronchoscopies'!$D$1</c:f>
              <c:strCache>
                <c:ptCount val="1"/>
                <c:pt idx="0">
                  <c:v>2020</c:v>
                </c:pt>
              </c:strCache>
            </c:strRef>
          </c:tx>
          <c:spPr>
            <a:solidFill>
              <a:schemeClr val="accent2"/>
            </a:solidFill>
            <a:ln>
              <a:noFill/>
            </a:ln>
            <a:effectLst/>
          </c:spPr>
          <c:invertIfNegative val="0"/>
          <c:val>
            <c:numRef>
              <c:f>'M Bronchoscopies'!$D$2:$D$5</c:f>
              <c:numCache>
                <c:formatCode>General</c:formatCode>
                <c:ptCount val="4"/>
                <c:pt idx="0">
                  <c:v>200</c:v>
                </c:pt>
                <c:pt idx="1">
                  <c:v>198</c:v>
                </c:pt>
                <c:pt idx="2">
                  <c:v>198</c:v>
                </c:pt>
                <c:pt idx="3">
                  <c:v>59</c:v>
                </c:pt>
              </c:numCache>
            </c:numRef>
          </c:val>
          <c:extLst>
            <c:ext xmlns:c16="http://schemas.microsoft.com/office/drawing/2014/chart" uri="{C3380CC4-5D6E-409C-BE32-E72D297353CC}">
              <c16:uniqueId val="{00000002-2C4D-4B89-86F0-811CDA0CBBB1}"/>
            </c:ext>
          </c:extLst>
        </c:ser>
        <c:dLbls>
          <c:showLegendKey val="0"/>
          <c:showVal val="0"/>
          <c:showCatName val="0"/>
          <c:showSerName val="0"/>
          <c:showPercent val="0"/>
          <c:showBubbleSize val="0"/>
        </c:dLbls>
        <c:gapWidth val="219"/>
        <c:overlap val="-27"/>
        <c:axId val="419937272"/>
        <c:axId val="419937928"/>
      </c:barChart>
      <c:catAx>
        <c:axId val="419937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37928"/>
        <c:crosses val="autoZero"/>
        <c:auto val="1"/>
        <c:lblAlgn val="ctr"/>
        <c:lblOffset val="100"/>
        <c:noMultiLvlLbl val="0"/>
      </c:catAx>
      <c:valAx>
        <c:axId val="419937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Number of procedures</a:t>
                </a:r>
              </a:p>
            </c:rich>
          </c:tx>
          <c:layout>
            <c:manualLayout>
              <c:xMode val="edge"/>
              <c:yMode val="edge"/>
              <c:x val="2.0576131687242798E-2"/>
              <c:y val="0.3847296215632620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37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0" i="0" u="none" strike="noStrike" kern="1200" spc="0" baseline="0">
                <a:solidFill>
                  <a:schemeClr val="tx1">
                    <a:lumMod val="65000"/>
                    <a:lumOff val="35000"/>
                  </a:schemeClr>
                </a:solidFill>
                <a:latin typeface="+mn-lt"/>
                <a:ea typeface="+mn-ea"/>
                <a:cs typeface="+mn-cs"/>
              </a:defRPr>
            </a:pPr>
            <a:r>
              <a:rPr lang="en-NZ" sz="1200"/>
              <a:t>Bronchoscopies - Māori</a:t>
            </a:r>
          </a:p>
        </c:rich>
      </c:tx>
      <c:overlay val="0"/>
      <c:spPr>
        <a:noFill/>
        <a:ln>
          <a:noFill/>
        </a:ln>
        <a:effectLst/>
      </c:spPr>
      <c:txPr>
        <a:bodyPr rot="0" spcFirstLastPara="1" vertOverflow="ellipsis" vert="horz" wrap="square" anchor="ctr" anchorCtr="1"/>
        <a:lstStyle/>
        <a:p>
          <a:pPr algn="ctr" rtl="0">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0"/>
          <c:tx>
            <c:v>2018</c:v>
          </c:tx>
          <c:spPr>
            <a:solidFill>
              <a:schemeClr val="accent3"/>
            </a:solidFill>
            <a:ln>
              <a:noFill/>
            </a:ln>
            <a:effectLst/>
          </c:spPr>
          <c:invertIfNegative val="0"/>
          <c:val>
            <c:numRef>
              <c:f>'M Bronchoscopies'!$F$2:$F$5</c:f>
              <c:numCache>
                <c:formatCode>General</c:formatCode>
                <c:ptCount val="4"/>
                <c:pt idx="0">
                  <c:v>25</c:v>
                </c:pt>
                <c:pt idx="1">
                  <c:v>25</c:v>
                </c:pt>
                <c:pt idx="2">
                  <c:v>29</c:v>
                </c:pt>
                <c:pt idx="3">
                  <c:v>20</c:v>
                </c:pt>
              </c:numCache>
            </c:numRef>
          </c:val>
          <c:extLst>
            <c:ext xmlns:c16="http://schemas.microsoft.com/office/drawing/2014/chart" uri="{C3380CC4-5D6E-409C-BE32-E72D297353CC}">
              <c16:uniqueId val="{00000000-3E67-4952-823D-F2699F72B409}"/>
            </c:ext>
          </c:extLst>
        </c:ser>
        <c:ser>
          <c:idx val="0"/>
          <c:order val="1"/>
          <c:tx>
            <c:v>2019</c:v>
          </c:tx>
          <c:spPr>
            <a:solidFill>
              <a:schemeClr val="accent1"/>
            </a:solidFill>
            <a:ln>
              <a:noFill/>
            </a:ln>
            <a:effectLst/>
          </c:spPr>
          <c:invertIfNegative val="0"/>
          <c:cat>
            <c:strRef>
              <c:f>'M Bronchoscopies'!$A$2:$A$5</c:f>
              <c:strCache>
                <c:ptCount val="4"/>
                <c:pt idx="0">
                  <c:v>Jan</c:v>
                </c:pt>
                <c:pt idx="1">
                  <c:v>Feb</c:v>
                </c:pt>
                <c:pt idx="2">
                  <c:v>Mar</c:v>
                </c:pt>
                <c:pt idx="3">
                  <c:v>Apr</c:v>
                </c:pt>
              </c:strCache>
            </c:strRef>
          </c:cat>
          <c:val>
            <c:numRef>
              <c:f>'M Bronchoscopies'!$G$2:$G$5</c:f>
              <c:numCache>
                <c:formatCode>General</c:formatCode>
                <c:ptCount val="4"/>
                <c:pt idx="0">
                  <c:v>40</c:v>
                </c:pt>
                <c:pt idx="1">
                  <c:v>41</c:v>
                </c:pt>
                <c:pt idx="2">
                  <c:v>34</c:v>
                </c:pt>
                <c:pt idx="3">
                  <c:v>30</c:v>
                </c:pt>
              </c:numCache>
            </c:numRef>
          </c:val>
          <c:extLst>
            <c:ext xmlns:c16="http://schemas.microsoft.com/office/drawing/2014/chart" uri="{C3380CC4-5D6E-409C-BE32-E72D297353CC}">
              <c16:uniqueId val="{00000001-3E67-4952-823D-F2699F72B409}"/>
            </c:ext>
          </c:extLst>
        </c:ser>
        <c:ser>
          <c:idx val="1"/>
          <c:order val="2"/>
          <c:tx>
            <c:v>2020</c:v>
          </c:tx>
          <c:spPr>
            <a:solidFill>
              <a:schemeClr val="accent2"/>
            </a:solidFill>
            <a:ln>
              <a:noFill/>
            </a:ln>
            <a:effectLst/>
          </c:spPr>
          <c:invertIfNegative val="0"/>
          <c:val>
            <c:numRef>
              <c:f>'M Bronchoscopies'!$H$2:$H$5</c:f>
              <c:numCache>
                <c:formatCode>General</c:formatCode>
                <c:ptCount val="4"/>
                <c:pt idx="0">
                  <c:v>35</c:v>
                </c:pt>
                <c:pt idx="1">
                  <c:v>32</c:v>
                </c:pt>
                <c:pt idx="2">
                  <c:v>23</c:v>
                </c:pt>
                <c:pt idx="3">
                  <c:v>5</c:v>
                </c:pt>
              </c:numCache>
            </c:numRef>
          </c:val>
          <c:extLst>
            <c:ext xmlns:c16="http://schemas.microsoft.com/office/drawing/2014/chart" uri="{C3380CC4-5D6E-409C-BE32-E72D297353CC}">
              <c16:uniqueId val="{00000002-3E67-4952-823D-F2699F72B409}"/>
            </c:ext>
          </c:extLst>
        </c:ser>
        <c:dLbls>
          <c:showLegendKey val="0"/>
          <c:showVal val="0"/>
          <c:showCatName val="0"/>
          <c:showSerName val="0"/>
          <c:showPercent val="0"/>
          <c:showBubbleSize val="0"/>
        </c:dLbls>
        <c:gapWidth val="219"/>
        <c:overlap val="-27"/>
        <c:axId val="419937272"/>
        <c:axId val="419937928"/>
      </c:barChart>
      <c:catAx>
        <c:axId val="419937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37928"/>
        <c:crosses val="autoZero"/>
        <c:auto val="1"/>
        <c:lblAlgn val="ctr"/>
        <c:lblOffset val="100"/>
        <c:noMultiLvlLbl val="0"/>
      </c:catAx>
      <c:valAx>
        <c:axId val="419937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Number of procedures</a:t>
                </a:r>
              </a:p>
            </c:rich>
          </c:tx>
          <c:layout>
            <c:manualLayout>
              <c:xMode val="edge"/>
              <c:yMode val="edge"/>
              <c:x val="2.0964360587002098E-2"/>
              <c:y val="0.378547681539807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37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200"/>
              <a:t>Cumulative bronchoscopies - total population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588346384404497"/>
          <c:y val="0.28147954349156834"/>
          <c:w val="0.77732746110431394"/>
          <c:h val="0.55556673626659292"/>
        </c:manualLayout>
      </c:layout>
      <c:scatterChart>
        <c:scatterStyle val="smoothMarker"/>
        <c:varyColors val="0"/>
        <c:ser>
          <c:idx val="2"/>
          <c:order val="0"/>
          <c:tx>
            <c:strRef>
              <c:f>'W Bronscopes'!$M$2</c:f>
              <c:strCache>
                <c:ptCount val="1"/>
                <c:pt idx="0">
                  <c:v>2018</c:v>
                </c:pt>
              </c:strCache>
            </c:strRef>
          </c:tx>
          <c:spPr>
            <a:ln w="19050" cap="rnd">
              <a:solidFill>
                <a:schemeClr val="accent3"/>
              </a:solidFill>
              <a:round/>
            </a:ln>
            <a:effectLst/>
          </c:spPr>
          <c:marker>
            <c:symbol val="none"/>
          </c:marker>
          <c:yVal>
            <c:numRef>
              <c:f>'W Bronscopes'!$M$3:$M$28</c:f>
              <c:numCache>
                <c:formatCode>General</c:formatCode>
                <c:ptCount val="26"/>
                <c:pt idx="0">
                  <c:v>26</c:v>
                </c:pt>
                <c:pt idx="1">
                  <c:v>75</c:v>
                </c:pt>
                <c:pt idx="2">
                  <c:v>124</c:v>
                </c:pt>
                <c:pt idx="3">
                  <c:v>175</c:v>
                </c:pt>
                <c:pt idx="4">
                  <c:v>212</c:v>
                </c:pt>
                <c:pt idx="5">
                  <c:v>246</c:v>
                </c:pt>
                <c:pt idx="6">
                  <c:v>294</c:v>
                </c:pt>
                <c:pt idx="7">
                  <c:v>344</c:v>
                </c:pt>
                <c:pt idx="8">
                  <c:v>391</c:v>
                </c:pt>
                <c:pt idx="9">
                  <c:v>440</c:v>
                </c:pt>
                <c:pt idx="10">
                  <c:v>497</c:v>
                </c:pt>
                <c:pt idx="11">
                  <c:v>541</c:v>
                </c:pt>
                <c:pt idx="12">
                  <c:v>582</c:v>
                </c:pt>
                <c:pt idx="13">
                  <c:v>619</c:v>
                </c:pt>
                <c:pt idx="14">
                  <c:v>667</c:v>
                </c:pt>
                <c:pt idx="15">
                  <c:v>702</c:v>
                </c:pt>
                <c:pt idx="16">
                  <c:v>737</c:v>
                </c:pt>
                <c:pt idx="17">
                  <c:v>777</c:v>
                </c:pt>
                <c:pt idx="18">
                  <c:v>833</c:v>
                </c:pt>
                <c:pt idx="19">
                  <c:v>887</c:v>
                </c:pt>
                <c:pt idx="20">
                  <c:v>932</c:v>
                </c:pt>
                <c:pt idx="21">
                  <c:v>985</c:v>
                </c:pt>
                <c:pt idx="22">
                  <c:v>1029</c:v>
                </c:pt>
                <c:pt idx="23">
                  <c:v>1083</c:v>
                </c:pt>
                <c:pt idx="24">
                  <c:v>1131</c:v>
                </c:pt>
                <c:pt idx="25">
                  <c:v>1191</c:v>
                </c:pt>
              </c:numCache>
            </c:numRef>
          </c:yVal>
          <c:smooth val="1"/>
          <c:extLst>
            <c:ext xmlns:c16="http://schemas.microsoft.com/office/drawing/2014/chart" uri="{C3380CC4-5D6E-409C-BE32-E72D297353CC}">
              <c16:uniqueId val="{00000000-9603-41CE-A25C-5B430C67DE2C}"/>
            </c:ext>
          </c:extLst>
        </c:ser>
        <c:ser>
          <c:idx val="0"/>
          <c:order val="1"/>
          <c:tx>
            <c:strRef>
              <c:f>'W Bronscopes'!$N$2</c:f>
              <c:strCache>
                <c:ptCount val="1"/>
                <c:pt idx="0">
                  <c:v>2019</c:v>
                </c:pt>
              </c:strCache>
            </c:strRef>
          </c:tx>
          <c:spPr>
            <a:ln w="19050" cap="rnd">
              <a:solidFill>
                <a:schemeClr val="accent1"/>
              </a:solidFill>
              <a:round/>
            </a:ln>
            <a:effectLst/>
          </c:spPr>
          <c:marker>
            <c:symbol val="none"/>
          </c:marker>
          <c:yVal>
            <c:numRef>
              <c:f>'W Bronscopes'!$N$3:$N$28</c:f>
              <c:numCache>
                <c:formatCode>General</c:formatCode>
                <c:ptCount val="26"/>
                <c:pt idx="0">
                  <c:v>28</c:v>
                </c:pt>
                <c:pt idx="1">
                  <c:v>73</c:v>
                </c:pt>
                <c:pt idx="2">
                  <c:v>128</c:v>
                </c:pt>
                <c:pt idx="3">
                  <c:v>190</c:v>
                </c:pt>
                <c:pt idx="4">
                  <c:v>249</c:v>
                </c:pt>
                <c:pt idx="5">
                  <c:v>310</c:v>
                </c:pt>
                <c:pt idx="6">
                  <c:v>358</c:v>
                </c:pt>
                <c:pt idx="7">
                  <c:v>426</c:v>
                </c:pt>
                <c:pt idx="8">
                  <c:v>466</c:v>
                </c:pt>
                <c:pt idx="9">
                  <c:v>518</c:v>
                </c:pt>
                <c:pt idx="10">
                  <c:v>570</c:v>
                </c:pt>
                <c:pt idx="11">
                  <c:v>635</c:v>
                </c:pt>
                <c:pt idx="12">
                  <c:v>682</c:v>
                </c:pt>
                <c:pt idx="13">
                  <c:v>739</c:v>
                </c:pt>
                <c:pt idx="14">
                  <c:v>791</c:v>
                </c:pt>
                <c:pt idx="15">
                  <c:v>847</c:v>
                </c:pt>
                <c:pt idx="16">
                  <c:v>898</c:v>
                </c:pt>
                <c:pt idx="17">
                  <c:v>949</c:v>
                </c:pt>
                <c:pt idx="18">
                  <c:v>1015</c:v>
                </c:pt>
                <c:pt idx="19">
                  <c:v>1067</c:v>
                </c:pt>
                <c:pt idx="20">
                  <c:v>1136</c:v>
                </c:pt>
                <c:pt idx="21">
                  <c:v>1189</c:v>
                </c:pt>
                <c:pt idx="22">
                  <c:v>1230</c:v>
                </c:pt>
                <c:pt idx="23">
                  <c:v>1271</c:v>
                </c:pt>
                <c:pt idx="24">
                  <c:v>1321</c:v>
                </c:pt>
                <c:pt idx="25">
                  <c:v>1369</c:v>
                </c:pt>
              </c:numCache>
            </c:numRef>
          </c:yVal>
          <c:smooth val="1"/>
          <c:extLst>
            <c:ext xmlns:c16="http://schemas.microsoft.com/office/drawing/2014/chart" uri="{C3380CC4-5D6E-409C-BE32-E72D297353CC}">
              <c16:uniqueId val="{00000001-9603-41CE-A25C-5B430C67DE2C}"/>
            </c:ext>
          </c:extLst>
        </c:ser>
        <c:ser>
          <c:idx val="1"/>
          <c:order val="2"/>
          <c:tx>
            <c:strRef>
              <c:f>'W Bronscopes'!$O$2</c:f>
              <c:strCache>
                <c:ptCount val="1"/>
                <c:pt idx="0">
                  <c:v>2020</c:v>
                </c:pt>
              </c:strCache>
            </c:strRef>
          </c:tx>
          <c:spPr>
            <a:ln w="19050" cap="rnd">
              <a:solidFill>
                <a:schemeClr val="accent2"/>
              </a:solidFill>
              <a:round/>
            </a:ln>
            <a:effectLst/>
          </c:spPr>
          <c:marker>
            <c:symbol val="none"/>
          </c:marker>
          <c:yVal>
            <c:numRef>
              <c:f>'W Bronscopes'!$O$3:$O$19</c:f>
              <c:numCache>
                <c:formatCode>General</c:formatCode>
                <c:ptCount val="17"/>
                <c:pt idx="0">
                  <c:v>21</c:v>
                </c:pt>
                <c:pt idx="1">
                  <c:v>79</c:v>
                </c:pt>
                <c:pt idx="2">
                  <c:v>123</c:v>
                </c:pt>
                <c:pt idx="3">
                  <c:v>163</c:v>
                </c:pt>
                <c:pt idx="4">
                  <c:v>214</c:v>
                </c:pt>
                <c:pt idx="5">
                  <c:v>253</c:v>
                </c:pt>
                <c:pt idx="6">
                  <c:v>314</c:v>
                </c:pt>
                <c:pt idx="7">
                  <c:v>368</c:v>
                </c:pt>
                <c:pt idx="8">
                  <c:v>422</c:v>
                </c:pt>
                <c:pt idx="9">
                  <c:v>484</c:v>
                </c:pt>
                <c:pt idx="10">
                  <c:v>540</c:v>
                </c:pt>
                <c:pt idx="11">
                  <c:v>580</c:v>
                </c:pt>
                <c:pt idx="12">
                  <c:v>596</c:v>
                </c:pt>
                <c:pt idx="13">
                  <c:v>609</c:v>
                </c:pt>
                <c:pt idx="14">
                  <c:v>623</c:v>
                </c:pt>
                <c:pt idx="15">
                  <c:v>631</c:v>
                </c:pt>
                <c:pt idx="16">
                  <c:v>640</c:v>
                </c:pt>
              </c:numCache>
            </c:numRef>
          </c:yVal>
          <c:smooth val="1"/>
          <c:extLst>
            <c:ext xmlns:c16="http://schemas.microsoft.com/office/drawing/2014/chart" uri="{C3380CC4-5D6E-409C-BE32-E72D297353CC}">
              <c16:uniqueId val="{00000002-9603-41CE-A25C-5B430C67DE2C}"/>
            </c:ext>
          </c:extLst>
        </c:ser>
        <c:ser>
          <c:idx val="3"/>
          <c:order val="3"/>
          <c:tx>
            <c:v>Level 4</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9603-41CE-A25C-5B430C67DE2C}"/>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'W Bronscopes'!$K$3:$K$4</c:f>
              <c:numCache>
                <c:formatCode>General</c:formatCode>
                <c:ptCount val="2"/>
                <c:pt idx="0">
                  <c:v>13</c:v>
                </c:pt>
                <c:pt idx="1">
                  <c:v>13</c:v>
                </c:pt>
              </c:numCache>
            </c:numRef>
          </c:xVal>
          <c:yVal>
            <c:numRef>
              <c:f>'W Bronscopes'!$L$3:$L$4</c:f>
              <c:numCache>
                <c:formatCode>General</c:formatCode>
                <c:ptCount val="2"/>
                <c:pt idx="0">
                  <c:v>0</c:v>
                </c:pt>
                <c:pt idx="1">
                  <c:v>1200</c:v>
                </c:pt>
              </c:numCache>
            </c:numRef>
          </c:yVal>
          <c:smooth val="1"/>
          <c:extLst>
            <c:ext xmlns:c16="http://schemas.microsoft.com/office/drawing/2014/chart" uri="{C3380CC4-5D6E-409C-BE32-E72D297353CC}">
              <c16:uniqueId val="{00000004-9603-41CE-A25C-5B430C67DE2C}"/>
            </c:ext>
          </c:extLst>
        </c:ser>
        <c:ser>
          <c:idx val="4"/>
          <c:order val="4"/>
          <c:tx>
            <c:v>Level 3</c:v>
          </c:tx>
          <c:spPr>
            <a:ln w="22225" cap="rnd">
              <a:solidFill>
                <a:schemeClr val="tx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5-9603-41CE-A25C-5B430C67DE2C}"/>
                </c:ext>
              </c:extLst>
            </c:dLbl>
            <c:dLbl>
              <c:idx val="1"/>
              <c:layout>
                <c:manualLayout>
                  <c:x val="-8.6512439982540379E-2"/>
                  <c:y val="-1.6538954994842935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9603-41CE-A25C-5B430C67DE2C}"/>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'W Bronscopes'!$K$6:$K$7</c:f>
              <c:numCache>
                <c:formatCode>General</c:formatCode>
                <c:ptCount val="2"/>
                <c:pt idx="0">
                  <c:v>17</c:v>
                </c:pt>
                <c:pt idx="1">
                  <c:v>17</c:v>
                </c:pt>
              </c:numCache>
            </c:numRef>
          </c:xVal>
          <c:yVal>
            <c:numRef>
              <c:f>'W Bronscopes'!$L$6:$L$7</c:f>
              <c:numCache>
                <c:formatCode>General</c:formatCode>
                <c:ptCount val="2"/>
                <c:pt idx="0">
                  <c:v>0</c:v>
                </c:pt>
                <c:pt idx="1">
                  <c:v>1400</c:v>
                </c:pt>
              </c:numCache>
            </c:numRef>
          </c:yVal>
          <c:smooth val="1"/>
          <c:extLst>
            <c:ext xmlns:c16="http://schemas.microsoft.com/office/drawing/2014/chart" uri="{C3380CC4-5D6E-409C-BE32-E72D297353CC}">
              <c16:uniqueId val="{00000006-9603-41CE-A25C-5B430C67DE2C}"/>
            </c:ext>
          </c:extLst>
        </c:ser>
        <c:dLbls>
          <c:showLegendKey val="0"/>
          <c:showVal val="0"/>
          <c:showCatName val="0"/>
          <c:showSerName val="0"/>
          <c:showPercent val="0"/>
          <c:showBubbleSize val="0"/>
        </c:dLbls>
        <c:axId val="419949736"/>
        <c:axId val="419954000"/>
      </c:scatterChart>
      <c:valAx>
        <c:axId val="419949736"/>
        <c:scaling>
          <c:orientation val="minMax"/>
          <c:max val="27"/>
          <c:min val="1"/>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a:t>Week</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54000"/>
        <c:crosses val="autoZero"/>
        <c:crossBetween val="midCat"/>
        <c:majorUnit val="2"/>
      </c:valAx>
      <c:valAx>
        <c:axId val="419954000"/>
        <c:scaling>
          <c:orientation val="minMax"/>
          <c:max val="14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Cumulative number of procedures</a:t>
                </a:r>
              </a:p>
            </c:rich>
          </c:tx>
          <c:layout>
            <c:manualLayout>
              <c:xMode val="edge"/>
              <c:yMode val="edge"/>
              <c:x val="9.4062009162866004E-3"/>
              <c:y val="0.2960146914543030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midCat"/>
      </c:valAx>
      <c:spPr>
        <a:noFill/>
        <a:ln>
          <a:noFill/>
        </a:ln>
        <a:effectLst/>
      </c:spPr>
    </c:plotArea>
    <c:legend>
      <c:legendPos val="t"/>
      <c:legendEntry>
        <c:idx val="3"/>
        <c:delete val="1"/>
      </c:legendEntry>
      <c:legendEntry>
        <c:idx val="4"/>
        <c:delete val="1"/>
      </c:legendEntry>
      <c:layout>
        <c:manualLayout>
          <c:xMode val="edge"/>
          <c:yMode val="edge"/>
          <c:x val="0.18399694800262581"/>
          <c:y val="0.16315228966986156"/>
          <c:w val="0.63200576030135036"/>
          <c:h val="6.674045935951296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4472C4"/>
      </a:accent1>
      <a:accent2>
        <a:srgbClr val="C00000"/>
      </a:accent2>
      <a:accent3>
        <a:srgbClr val="70AD47"/>
      </a:accent3>
      <a:accent4>
        <a:srgbClr val="FFC000"/>
      </a:accent4>
      <a:accent5>
        <a:srgbClr val="5B9BD5"/>
      </a:accent5>
      <a:accent6>
        <a:srgbClr val="A5A5A5"/>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AF8F01AF06A249BB5651B9DFA037D1" ma:contentTypeVersion="11" ma:contentTypeDescription="Create a new document." ma:contentTypeScope="" ma:versionID="0f854d36310ee56c2a761d890e62c3de">
  <xsd:schema xmlns:xsd="http://www.w3.org/2001/XMLSchema" xmlns:xs="http://www.w3.org/2001/XMLSchema" xmlns:p="http://schemas.microsoft.com/office/2006/metadata/properties" xmlns:ns3="ddce3988-8b87-4e29-99fa-ee8ea2db853e" xmlns:ns4="c3b16173-69fd-4bdb-ac1e-4b1767ff6873" targetNamespace="http://schemas.microsoft.com/office/2006/metadata/properties" ma:root="true" ma:fieldsID="dcbee37cf21332b2531a683af7bf4ffb" ns3:_="" ns4:_="">
    <xsd:import namespace="ddce3988-8b87-4e29-99fa-ee8ea2db853e"/>
    <xsd:import namespace="c3b16173-69fd-4bdb-ac1e-4b1767ff687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e3988-8b87-4e29-99fa-ee8ea2db85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b16173-69fd-4bdb-ac1e-4b1767ff687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4B0D7-13EA-40DE-B1B8-49B782F9A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e3988-8b87-4e29-99fa-ee8ea2db853e"/>
    <ds:schemaRef ds:uri="c3b16173-69fd-4bdb-ac1e-4b1767ff68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ADFD0B-8C3C-4EC3-83D0-07349A139FA2}">
  <ds:schemaRefs>
    <ds:schemaRef ds:uri="http://schemas.microsoft.com/sharepoint/v3/contenttype/forms"/>
  </ds:schemaRefs>
</ds:datastoreItem>
</file>

<file path=customXml/itemProps3.xml><?xml version="1.0" encoding="utf-8"?>
<ds:datastoreItem xmlns:ds="http://schemas.openxmlformats.org/officeDocument/2006/customXml" ds:itemID="{A7B50BE2-EA91-4E28-9904-4AF80D7E3080}">
  <ds:schemaRefs>
    <ds:schemaRef ds:uri="http://purl.org/dc/terms/"/>
    <ds:schemaRef ds:uri="http://schemas.microsoft.com/office/2006/documentManagement/types"/>
    <ds:schemaRef ds:uri="http://purl.org/dc/elements/1.1/"/>
    <ds:schemaRef ds:uri="http://schemas.microsoft.com/office/2006/metadata/properties"/>
    <ds:schemaRef ds:uri="ddce3988-8b87-4e29-99fa-ee8ea2db853e"/>
    <ds:schemaRef ds:uri="http://schemas.microsoft.com/office/infopath/2007/PartnerControls"/>
    <ds:schemaRef ds:uri="http://schemas.openxmlformats.org/package/2006/metadata/core-properties"/>
    <ds:schemaRef ds:uri="c3b16173-69fd-4bdb-ac1e-4b1767ff6873"/>
    <ds:schemaRef ds:uri="http://www.w3.org/XML/1998/namespace"/>
    <ds:schemaRef ds:uri="http://purl.org/dc/dcmitype/"/>
  </ds:schemaRefs>
</ds:datastoreItem>
</file>

<file path=customXml/itemProps4.xml><?xml version="1.0" encoding="utf-8"?>
<ds:datastoreItem xmlns:ds="http://schemas.openxmlformats.org/officeDocument/2006/customXml" ds:itemID="{BF1B85AF-6779-4F23-A6DB-66011128D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C1219800</Template>
  <TotalTime>156</TotalTime>
  <Pages>37</Pages>
  <Words>7314</Words>
  <Characters>41690</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48907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Elinor Millar</dc:creator>
  <cp:keywords/>
  <dc:description/>
  <cp:lastModifiedBy>Elinor Millar</cp:lastModifiedBy>
  <cp:revision>6</cp:revision>
  <cp:lastPrinted>2020-05-27T00:59:00Z</cp:lastPrinted>
  <dcterms:created xsi:type="dcterms:W3CDTF">2020-05-26T23:27:00Z</dcterms:created>
  <dcterms:modified xsi:type="dcterms:W3CDTF">2020-05-27T02:09:00Z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0x0101007EAF8F01AF06A249BB5651B9DFA037D1</vt:lpwstr>
  </property>
</Properties>
</file>